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361" w:firstLineChars="100"/>
        <w:jc w:val="both"/>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淮北市市场主体住所（经营场所）登记负面清单</w:t>
      </w:r>
    </w:p>
    <w:tbl>
      <w:tblPr>
        <w:tblStyle w:val="4"/>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13"/>
        <w:gridCol w:w="3525"/>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2" w:type="dxa"/>
          </w:tcPr>
          <w:p>
            <w:pPr>
              <w:jc w:val="center"/>
              <w:rPr>
                <w:rFonts w:hint="eastAsia" w:ascii="仿宋" w:hAnsi="仿宋" w:eastAsia="仿宋" w:cs="仿宋"/>
                <w:b/>
                <w:bCs/>
                <w:sz w:val="30"/>
                <w:szCs w:val="30"/>
                <w:vertAlign w:val="baseline"/>
              </w:rPr>
            </w:pPr>
          </w:p>
        </w:tc>
        <w:tc>
          <w:tcPr>
            <w:tcW w:w="1813" w:type="dxa"/>
          </w:tcPr>
          <w:p>
            <w:pPr>
              <w:jc w:val="center"/>
              <w:rPr>
                <w:rFonts w:hint="eastAsia" w:ascii="仿宋" w:hAnsi="仿宋" w:eastAsia="仿宋" w:cs="仿宋"/>
                <w:b/>
                <w:bCs/>
                <w:sz w:val="30"/>
                <w:szCs w:val="30"/>
                <w:vertAlign w:val="baseline"/>
              </w:rPr>
            </w:pPr>
            <w:r>
              <w:rPr>
                <w:rFonts w:hint="eastAsia" w:ascii="仿宋" w:hAnsi="仿宋" w:eastAsia="仿宋" w:cs="仿宋"/>
                <w:b/>
                <w:bCs/>
                <w:sz w:val="30"/>
                <w:szCs w:val="30"/>
              </w:rPr>
              <w:t>经营项目</w:t>
            </w:r>
          </w:p>
        </w:tc>
        <w:tc>
          <w:tcPr>
            <w:tcW w:w="3525" w:type="dxa"/>
          </w:tcPr>
          <w:p>
            <w:pPr>
              <w:jc w:val="center"/>
              <w:rPr>
                <w:rFonts w:hint="eastAsia" w:ascii="仿宋" w:hAnsi="仿宋" w:eastAsia="仿宋" w:cs="仿宋"/>
                <w:b/>
                <w:bCs/>
                <w:sz w:val="30"/>
                <w:szCs w:val="30"/>
                <w:vertAlign w:val="baseline"/>
              </w:rPr>
            </w:pPr>
            <w:r>
              <w:rPr>
                <w:rFonts w:hint="eastAsia" w:ascii="仿宋" w:hAnsi="仿宋" w:eastAsia="仿宋" w:cs="仿宋"/>
                <w:b/>
                <w:bCs/>
                <w:sz w:val="30"/>
                <w:szCs w:val="30"/>
              </w:rPr>
              <w:t>禁设区域</w:t>
            </w:r>
          </w:p>
        </w:tc>
        <w:tc>
          <w:tcPr>
            <w:tcW w:w="2637" w:type="dxa"/>
          </w:tcPr>
          <w:p>
            <w:pPr>
              <w:jc w:val="center"/>
              <w:rPr>
                <w:rFonts w:hint="eastAsia" w:ascii="仿宋" w:hAnsi="仿宋" w:eastAsia="仿宋" w:cs="仿宋"/>
                <w:b/>
                <w:bCs/>
                <w:sz w:val="30"/>
                <w:szCs w:val="30"/>
                <w:vertAlign w:val="baseline"/>
              </w:rPr>
            </w:pPr>
            <w:r>
              <w:rPr>
                <w:rFonts w:hint="eastAsia" w:ascii="仿宋" w:hAnsi="仿宋" w:eastAsia="仿宋" w:cs="仿宋"/>
                <w:b/>
                <w:bCs/>
                <w:sz w:val="30"/>
                <w:szCs w:val="30"/>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lang w:val="en-US" w:eastAsia="zh-CN"/>
              </w:rPr>
            </w:pPr>
            <w:r>
              <w:rPr>
                <w:rFonts w:hint="eastAsia" w:ascii="仿宋" w:hAnsi="仿宋" w:eastAsia="仿宋" w:cs="仿宋"/>
                <w:sz w:val="30"/>
                <w:szCs w:val="30"/>
              </w:rPr>
              <w:t>1</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rPr>
              <w:t>全行业</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sz w:val="30"/>
                <w:szCs w:val="30"/>
              </w:rPr>
            </w:pPr>
            <w:r>
              <w:rPr>
                <w:rFonts w:hint="eastAsia" w:ascii="仿宋" w:hAnsi="仿宋" w:eastAsia="仿宋" w:cs="仿宋"/>
                <w:sz w:val="30"/>
                <w:szCs w:val="30"/>
              </w:rPr>
              <w:t>1.非法建筑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sz w:val="30"/>
                <w:szCs w:val="30"/>
              </w:rPr>
            </w:pPr>
            <w:r>
              <w:rPr>
                <w:rFonts w:hint="eastAsia" w:ascii="仿宋" w:hAnsi="仿宋" w:eastAsia="仿宋" w:cs="仿宋"/>
                <w:sz w:val="30"/>
                <w:szCs w:val="30"/>
              </w:rPr>
              <w:t>2.经鉴定的危房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vertAlign w:val="baseline"/>
              </w:rPr>
            </w:pPr>
            <w:r>
              <w:rPr>
                <w:rFonts w:hint="eastAsia" w:ascii="仿宋" w:hAnsi="仿宋" w:eastAsia="仿宋" w:cs="仿宋"/>
                <w:sz w:val="30"/>
                <w:szCs w:val="30"/>
              </w:rPr>
              <w:t>3.</w:t>
            </w:r>
            <w:r>
              <w:rPr>
                <w:rFonts w:hint="eastAsia" w:ascii="仿宋" w:hAnsi="仿宋" w:eastAsia="仿宋" w:cs="仿宋"/>
                <w:sz w:val="30"/>
                <w:szCs w:val="30"/>
                <w:shd w:val="clear" w:fill="FFFFFF"/>
              </w:rPr>
              <w:t>其他不符合法律、法规和规章规定的生产经营场所</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0"/>
                <w:szCs w:val="30"/>
              </w:rPr>
            </w:pPr>
            <w:r>
              <w:rPr>
                <w:rFonts w:hint="eastAsia" w:ascii="仿宋" w:hAnsi="仿宋" w:eastAsia="仿宋" w:cs="仿宋"/>
                <w:sz w:val="30"/>
                <w:szCs w:val="30"/>
              </w:rPr>
              <w:t>1.《国务院关于印发注册资本登记制度改革方案的通知》（国发[2014]7号）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2</w:t>
            </w:r>
            <w:r>
              <w:rPr>
                <w:rFonts w:hint="eastAsia" w:ascii="仿宋" w:hAnsi="仿宋" w:eastAsia="仿宋" w:cs="仿宋"/>
                <w:sz w:val="30"/>
                <w:szCs w:val="30"/>
              </w:rPr>
              <w:t>.安徽省工商局《关于印发进一步简化市场主体住所（经营场所）登记手续的暂行规定的通知》第七条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rPr>
              <w:t>2</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shd w:val="clear" w:fill="FFFFFF"/>
              </w:rPr>
              <w:t>全行业</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jc w:val="left"/>
              <w:rPr>
                <w:rFonts w:hint="eastAsia" w:ascii="仿宋" w:hAnsi="仿宋" w:eastAsia="仿宋" w:cs="仿宋"/>
                <w:sz w:val="30"/>
                <w:szCs w:val="30"/>
                <w:vertAlign w:val="baseline"/>
              </w:rPr>
            </w:pPr>
            <w:r>
              <w:rPr>
                <w:rFonts w:hint="eastAsia" w:ascii="仿宋" w:hAnsi="仿宋" w:eastAsia="仿宋" w:cs="仿宋"/>
                <w:sz w:val="30"/>
                <w:szCs w:val="30"/>
                <w:shd w:val="clear" w:fill="FFFFFF"/>
              </w:rPr>
              <w:t>确需征收房屋的，由市、县级人民政府作出房屋征收决定</w:t>
            </w:r>
            <w:r>
              <w:rPr>
                <w:rFonts w:hint="eastAsia" w:ascii="仿宋" w:hAnsi="仿宋" w:eastAsia="仿宋" w:cs="仿宋"/>
                <w:sz w:val="30"/>
                <w:szCs w:val="30"/>
                <w:shd w:val="clear" w:fill="FFFFFF"/>
              </w:rPr>
              <w:t>。对征收范围内的</w:t>
            </w:r>
            <w:r>
              <w:rPr>
                <w:rFonts w:hint="eastAsia" w:ascii="仿宋" w:hAnsi="仿宋" w:eastAsia="仿宋" w:cs="仿宋"/>
                <w:sz w:val="30"/>
                <w:szCs w:val="30"/>
                <w:shd w:val="clear" w:fill="FFFFFF"/>
              </w:rPr>
              <w:t>房屋</w:t>
            </w:r>
            <w:r>
              <w:rPr>
                <w:rFonts w:hint="eastAsia" w:ascii="仿宋" w:hAnsi="仿宋" w:eastAsia="仿宋" w:cs="仿宋"/>
                <w:sz w:val="30"/>
                <w:szCs w:val="30"/>
                <w:shd w:val="clear" w:fill="FFFFFF"/>
              </w:rPr>
              <w:t>，依据</w:t>
            </w:r>
            <w:r>
              <w:rPr>
                <w:rFonts w:hint="eastAsia" w:ascii="仿宋" w:hAnsi="仿宋" w:eastAsia="仿宋" w:cs="仿宋"/>
                <w:sz w:val="30"/>
                <w:szCs w:val="30"/>
                <w:shd w:val="clear" w:fill="FFFFFF"/>
              </w:rPr>
              <w:t>征收部门书面通知暂停办理相关手续。暂停期限最长不得超过1</w:t>
            </w:r>
            <w:r>
              <w:rPr>
                <w:rFonts w:hint="eastAsia" w:ascii="仿宋" w:hAnsi="仿宋" w:eastAsia="仿宋" w:cs="仿宋"/>
                <w:sz w:val="30"/>
                <w:szCs w:val="30"/>
                <w:shd w:val="clear" w:fill="FFFFFF"/>
              </w:rPr>
              <w:t>年。</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shd w:val="clear" w:fill="FFFFFF"/>
              </w:rPr>
              <w:t>《</w:t>
            </w:r>
            <w:r>
              <w:rPr>
                <w:rFonts w:hint="eastAsia" w:ascii="仿宋" w:hAnsi="仿宋" w:eastAsia="仿宋" w:cs="仿宋"/>
                <w:sz w:val="30"/>
                <w:szCs w:val="30"/>
                <w:shd w:val="clear" w:fill="FFFFFF"/>
              </w:rPr>
              <w:t>国有土地上房屋征收与补偿条例</w:t>
            </w:r>
            <w:r>
              <w:rPr>
                <w:rFonts w:hint="eastAsia" w:ascii="仿宋" w:hAnsi="仿宋" w:eastAsia="仿宋" w:cs="仿宋"/>
                <w:sz w:val="30"/>
                <w:szCs w:val="30"/>
                <w:shd w:val="clear" w:fill="FFFFFF"/>
              </w:rPr>
              <w:t>》第</w:t>
            </w:r>
            <w:r>
              <w:rPr>
                <w:rFonts w:hint="eastAsia" w:ascii="仿宋" w:hAnsi="仿宋" w:eastAsia="仿宋" w:cs="仿宋"/>
                <w:sz w:val="30"/>
                <w:szCs w:val="30"/>
                <w:shd w:val="clear" w:fill="FFFFFF"/>
                <w:lang w:eastAsia="zh-CN"/>
              </w:rPr>
              <w:t>八</w:t>
            </w:r>
            <w:r>
              <w:rPr>
                <w:rFonts w:hint="eastAsia" w:ascii="仿宋" w:hAnsi="仿宋" w:eastAsia="仿宋" w:cs="仿宋"/>
                <w:sz w:val="30"/>
                <w:szCs w:val="30"/>
                <w:shd w:val="clear" w:fill="FFFFFF"/>
              </w:rPr>
              <w:t>条、第</w:t>
            </w:r>
            <w:r>
              <w:rPr>
                <w:rFonts w:hint="eastAsia" w:ascii="仿宋" w:hAnsi="仿宋" w:eastAsia="仿宋" w:cs="仿宋"/>
                <w:sz w:val="30"/>
                <w:szCs w:val="30"/>
                <w:shd w:val="clear" w:fill="FFFFFF"/>
                <w:lang w:eastAsia="zh-CN"/>
              </w:rPr>
              <w:t>十六</w:t>
            </w:r>
            <w:r>
              <w:rPr>
                <w:rFonts w:hint="eastAsia" w:ascii="仿宋" w:hAnsi="仿宋" w:eastAsia="仿宋" w:cs="仿宋"/>
                <w:sz w:val="30"/>
                <w:szCs w:val="30"/>
                <w:shd w:val="clear" w:fill="FFFFFF"/>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rPr>
              <w:t>3</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0"/>
                <w:szCs w:val="30"/>
              </w:rPr>
            </w:pPr>
            <w:r>
              <w:rPr>
                <w:rFonts w:hint="eastAsia" w:ascii="仿宋" w:hAnsi="仿宋" w:eastAsia="仿宋" w:cs="仿宋"/>
                <w:sz w:val="30"/>
                <w:szCs w:val="30"/>
              </w:rPr>
              <w:t>互联网上网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rPr>
              <w:t>服务营业场所</w:t>
            </w:r>
          </w:p>
        </w:tc>
        <w:tc>
          <w:tcPr>
            <w:tcW w:w="3525"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rPr>
              <w:t>中学、小学校园周围200</w:t>
            </w:r>
            <w:r>
              <w:rPr>
                <w:rFonts w:hint="eastAsia" w:ascii="仿宋" w:hAnsi="仿宋" w:eastAsia="仿宋" w:cs="仿宋"/>
                <w:sz w:val="30"/>
                <w:szCs w:val="30"/>
              </w:rPr>
              <w:t>米范围内和居民住宅楼（院）内不得设立</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rPr>
              <w:t>《互联网上网服务营业场所管理条例》第九条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1" w:hRule="atLeast"/>
        </w:trPr>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rPr>
              <w:t>4</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rPr>
              <w:t>娱乐场所</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1</w:t>
            </w:r>
            <w:r>
              <w:rPr>
                <w:rFonts w:hint="eastAsia" w:ascii="仿宋" w:hAnsi="仿宋" w:eastAsia="仿宋" w:cs="仿宋"/>
                <w:sz w:val="30"/>
                <w:szCs w:val="30"/>
              </w:rPr>
              <w:t>）房屋规划、设计、使用用途中含有住宅；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2</w:t>
            </w:r>
            <w:r>
              <w:rPr>
                <w:rFonts w:hint="eastAsia" w:ascii="仿宋" w:hAnsi="仿宋" w:eastAsia="仿宋" w:cs="仿宋"/>
                <w:sz w:val="30"/>
                <w:szCs w:val="30"/>
              </w:rPr>
              <w:t>）博物馆、图书馆和被核定为文物保护单位的建筑物内；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3</w:t>
            </w:r>
            <w:r>
              <w:rPr>
                <w:rFonts w:hint="eastAsia" w:ascii="仿宋" w:hAnsi="仿宋" w:eastAsia="仿宋" w:cs="仿宋"/>
                <w:sz w:val="30"/>
                <w:szCs w:val="30"/>
              </w:rPr>
              <w:t>）居民住宅区；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4</w:t>
            </w:r>
            <w:r>
              <w:rPr>
                <w:rFonts w:hint="eastAsia" w:ascii="仿宋" w:hAnsi="仿宋" w:eastAsia="仿宋" w:cs="仿宋"/>
                <w:sz w:val="30"/>
                <w:szCs w:val="30"/>
              </w:rPr>
              <w:t>）教育法规定的中小学校周围；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5</w:t>
            </w:r>
            <w:r>
              <w:rPr>
                <w:rFonts w:hint="eastAsia" w:ascii="仿宋" w:hAnsi="仿宋" w:eastAsia="仿宋" w:cs="仿宋"/>
                <w:sz w:val="30"/>
                <w:szCs w:val="30"/>
              </w:rPr>
              <w:t>）依照《医疗机构管理条例》及实施细则规定取得《医疗机构执业许可证》的医院周围；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6</w:t>
            </w:r>
            <w:r>
              <w:rPr>
                <w:rFonts w:hint="eastAsia" w:ascii="仿宋" w:hAnsi="仿宋" w:eastAsia="仿宋" w:cs="仿宋"/>
                <w:sz w:val="30"/>
                <w:szCs w:val="30"/>
              </w:rPr>
              <w:t>）各级中国共产党委员会及其所属各工作部门、各级人民代表大会机关、各级人民政府及其所属各工作部门、各级政治协商会议机关、各级人民法院、检察院机关、各级民主党派机关周围；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7</w:t>
            </w:r>
            <w:r>
              <w:rPr>
                <w:rFonts w:hint="eastAsia" w:ascii="仿宋" w:hAnsi="仿宋" w:eastAsia="仿宋" w:cs="仿宋"/>
                <w:sz w:val="30"/>
                <w:szCs w:val="30"/>
              </w:rPr>
              <w:t>）车站、机场等人群密集的场所；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8</w:t>
            </w:r>
            <w:r>
              <w:rPr>
                <w:rFonts w:hint="eastAsia" w:ascii="仿宋" w:hAnsi="仿宋" w:eastAsia="仿宋" w:cs="仿宋"/>
                <w:sz w:val="30"/>
                <w:szCs w:val="30"/>
              </w:rPr>
              <w:t>）建筑物地下一层以下（不含地下一层）；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rPr>
              <w:t>（</w:t>
            </w:r>
            <w:r>
              <w:rPr>
                <w:rFonts w:hint="eastAsia" w:ascii="仿宋" w:hAnsi="仿宋" w:eastAsia="仿宋" w:cs="仿宋"/>
                <w:sz w:val="30"/>
                <w:szCs w:val="30"/>
              </w:rPr>
              <w:t>9</w:t>
            </w:r>
            <w:r>
              <w:rPr>
                <w:rFonts w:hint="eastAsia" w:ascii="仿宋" w:hAnsi="仿宋" w:eastAsia="仿宋" w:cs="仿宋"/>
                <w:sz w:val="30"/>
                <w:szCs w:val="30"/>
              </w:rPr>
              <w:t>）与危险化学品仓库毗连的区域，与危险化学品仓库的距离必须符合《危险化学品安全管理条例》的有关规定。</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rPr>
              <w:t>《娱乐场所管理办法》第六条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shd w:val="clear" w:fill="FFFFFF"/>
              </w:rPr>
              <w:t>生产、储存、经营易燃易爆危险品</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0"/>
                <w:szCs w:val="30"/>
                <w:vertAlign w:val="baseline"/>
              </w:rPr>
            </w:pPr>
            <w:r>
              <w:rPr>
                <w:rFonts w:hint="eastAsia" w:ascii="仿宋" w:hAnsi="仿宋" w:eastAsia="仿宋" w:cs="仿宋"/>
                <w:sz w:val="30"/>
                <w:szCs w:val="30"/>
                <w:shd w:val="clear" w:fill="FFFFFF"/>
              </w:rPr>
              <w:t>生产、储存、经营易燃易爆危险品的场所不得与居住场所设置在同一建筑物内，并应当与居住场所保持安全距离。生产、储存、经营其他物品的场所与居住场所设置在同一建筑物内的，应当符合国家工程建设消防技术标准。</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shd w:val="clear" w:fill="FFFFFF"/>
              </w:rPr>
              <w:t>《中华人民共和国消防法》第十九条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旅游社</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shd w:val="clear" w:fill="FFFFFF"/>
              </w:rPr>
              <w:t>禁止在非营业用房经营旅行社</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0"/>
                <w:szCs w:val="30"/>
              </w:rPr>
            </w:pPr>
            <w:r>
              <w:rPr>
                <w:rFonts w:hint="eastAsia" w:ascii="仿宋" w:hAnsi="仿宋" w:eastAsia="仿宋" w:cs="仿宋"/>
                <w:sz w:val="30"/>
                <w:szCs w:val="30"/>
                <w:shd w:val="clear" w:fill="FFFFFF"/>
              </w:rPr>
              <w:t>《旅行社条例实施细则》</w:t>
            </w:r>
          </w:p>
          <w:p>
            <w:pPr>
              <w:jc w:val="center"/>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收购废旧金属</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vertAlign w:val="baseline"/>
              </w:rPr>
            </w:pPr>
            <w:r>
              <w:rPr>
                <w:rFonts w:hint="eastAsia" w:ascii="仿宋" w:hAnsi="仿宋" w:eastAsia="仿宋" w:cs="仿宋"/>
                <w:sz w:val="30"/>
                <w:szCs w:val="30"/>
                <w:shd w:val="clear" w:fill="FFFFFF"/>
              </w:rPr>
              <w:t>在铁路、矿区、</w:t>
            </w:r>
            <w:r>
              <w:rPr>
                <w:rFonts w:hint="eastAsia" w:ascii="仿宋" w:hAnsi="仿宋" w:eastAsia="仿宋" w:cs="仿宋"/>
                <w:sz w:val="30"/>
                <w:szCs w:val="30"/>
                <w:shd w:val="clear" w:fill="FFFFFF"/>
              </w:rPr>
              <w:t>油田、机场、港口、施工工地、军事禁区和金属冶炼加工企业附近</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0"/>
                <w:szCs w:val="30"/>
              </w:rPr>
            </w:pPr>
            <w:r>
              <w:rPr>
                <w:rFonts w:hint="eastAsia" w:ascii="仿宋" w:hAnsi="仿宋" w:eastAsia="仿宋" w:cs="仿宋"/>
                <w:sz w:val="30"/>
                <w:szCs w:val="30"/>
                <w:shd w:val="clear" w:fill="FFFFFF"/>
              </w:rPr>
              <w:t>《废旧金属收购业治安管理办法》第七条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《安徽省特种行业治安管理条例》第九条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shd w:val="clear" w:fill="FFFFFF"/>
              </w:rPr>
            </w:pPr>
            <w:r>
              <w:rPr>
                <w:rFonts w:hint="eastAsia" w:ascii="仿宋" w:hAnsi="仿宋" w:eastAsia="仿宋" w:cs="仿宋"/>
                <w:sz w:val="30"/>
                <w:szCs w:val="30"/>
                <w:shd w:val="clear" w:fill="FFFFFF"/>
                <w:lang w:val="en-US" w:eastAsia="zh-CN"/>
              </w:rPr>
              <w:t>餐饮服务项目</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禁止在居民住宅楼、未配套设立专用烟道的商住楼以及商住综合楼内与居住层相邻的商业楼层内新建、改建、扩建产生油烟、异味、废气的餐饮服务项目</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shd w:val="clear" w:fill="FFFFFF"/>
              </w:rPr>
            </w:pPr>
            <w:r>
              <w:rPr>
                <w:rFonts w:hint="eastAsia" w:ascii="仿宋" w:hAnsi="仿宋" w:eastAsia="仿宋" w:cs="仿宋"/>
                <w:sz w:val="30"/>
                <w:szCs w:val="30"/>
                <w:shd w:val="clear" w:fill="FFFFFF"/>
                <w:lang w:eastAsia="zh-CN"/>
              </w:rPr>
              <w:t>《中华人民共和国大气污染防治法》第八十一条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第二类、第三类医疗器械经营</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vertAlign w:val="baseline"/>
              </w:rPr>
            </w:pPr>
            <w:r>
              <w:rPr>
                <w:rFonts w:hint="eastAsia" w:ascii="仿宋" w:hAnsi="仿宋" w:eastAsia="仿宋" w:cs="仿宋"/>
                <w:sz w:val="30"/>
                <w:szCs w:val="30"/>
                <w:shd w:val="clear" w:fill="FFFFFF"/>
              </w:rPr>
              <w:t>在居民住宅内、军事管理区（不含可租赁区）以及其他不适合经营的场所</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《医疗器械经营质量管理规范》第十六条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w:t>
            </w:r>
          </w:p>
        </w:tc>
        <w:tc>
          <w:tcPr>
            <w:tcW w:w="181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建设污染文物</w:t>
            </w:r>
            <w:r>
              <w:rPr>
                <w:rFonts w:hint="eastAsia" w:ascii="仿宋" w:hAnsi="仿宋" w:eastAsia="仿宋" w:cs="仿宋"/>
                <w:sz w:val="30"/>
                <w:szCs w:val="30"/>
                <w:shd w:val="clear" w:fill="FFFFFF"/>
              </w:rPr>
              <w:t>保护单位及其环境的设施，进行可能影响文物保护单位安全及其环境的活动</w:t>
            </w:r>
          </w:p>
        </w:tc>
        <w:tc>
          <w:tcPr>
            <w:tcW w:w="35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在文物保护单位的保护范围和建设控制地带内</w:t>
            </w:r>
          </w:p>
        </w:tc>
        <w:tc>
          <w:tcPr>
            <w:tcW w:w="263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仿宋" w:hAnsi="仿宋" w:eastAsia="仿宋" w:cs="仿宋"/>
                <w:sz w:val="30"/>
                <w:szCs w:val="30"/>
                <w:shd w:val="clear" w:fill="FFFFFF"/>
              </w:rPr>
            </w:pPr>
            <w:r>
              <w:rPr>
                <w:rFonts w:hint="eastAsia" w:ascii="仿宋" w:hAnsi="仿宋" w:eastAsia="仿宋" w:cs="仿宋"/>
                <w:sz w:val="30"/>
                <w:szCs w:val="30"/>
                <w:shd w:val="clear" w:fill="FFFFFF"/>
              </w:rPr>
              <w:t>《</w:t>
            </w:r>
            <w:r>
              <w:rPr>
                <w:rFonts w:hint="eastAsia" w:ascii="仿宋" w:hAnsi="仿宋" w:eastAsia="仿宋" w:cs="仿宋"/>
                <w:color w:val="333333"/>
                <w:sz w:val="30"/>
                <w:szCs w:val="30"/>
                <w:u w:val="none"/>
              </w:rPr>
              <w:fldChar w:fldCharType="begin"/>
            </w:r>
            <w:r>
              <w:rPr>
                <w:rFonts w:hint="eastAsia" w:ascii="仿宋" w:hAnsi="仿宋" w:eastAsia="仿宋" w:cs="仿宋"/>
                <w:color w:val="333333"/>
                <w:sz w:val="30"/>
                <w:szCs w:val="30"/>
                <w:u w:val="none"/>
              </w:rPr>
              <w:instrText xml:space="preserve"> HYPERLINK "http://www.so.com/link?url=http://www.npc.gov.cn/npc/xinwen/2017-11/28/content_2032718.htm&amp;q=%E6%96%87%E7%89%A9%E4%BF%9D%E6%8A%A4%E6%B3%95&amp;ts=1511956453&amp;t=fbe8bdeb88d24d9fb9d49e467c012a4" \o "中华人民共和国文物保护法" </w:instrText>
            </w:r>
            <w:r>
              <w:rPr>
                <w:rFonts w:hint="eastAsia" w:ascii="仿宋" w:hAnsi="仿宋" w:eastAsia="仿宋" w:cs="仿宋"/>
                <w:color w:val="333333"/>
                <w:sz w:val="30"/>
                <w:szCs w:val="30"/>
                <w:u w:val="none"/>
              </w:rPr>
              <w:fldChar w:fldCharType="separate"/>
            </w:r>
            <w:r>
              <w:rPr>
                <w:rStyle w:val="6"/>
                <w:rFonts w:hint="eastAsia" w:ascii="仿宋" w:hAnsi="仿宋" w:eastAsia="仿宋" w:cs="仿宋"/>
                <w:color w:val="333333"/>
                <w:sz w:val="30"/>
                <w:szCs w:val="30"/>
                <w:u w:val="none"/>
              </w:rPr>
              <w:t>中华人民共和国文物保护法</w:t>
            </w:r>
            <w:r>
              <w:rPr>
                <w:rFonts w:hint="eastAsia" w:ascii="仿宋" w:hAnsi="仿宋" w:eastAsia="仿宋" w:cs="仿宋"/>
                <w:color w:val="333333"/>
                <w:sz w:val="30"/>
                <w:szCs w:val="30"/>
                <w:u w:val="none"/>
              </w:rPr>
              <w:fldChar w:fldCharType="end"/>
            </w:r>
            <w:r>
              <w:rPr>
                <w:rFonts w:hint="eastAsia" w:ascii="仿宋" w:hAnsi="仿宋" w:eastAsia="仿宋" w:cs="仿宋"/>
                <w:sz w:val="30"/>
                <w:szCs w:val="30"/>
              </w:rPr>
              <w:t>》第十九条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4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w:t>
            </w:r>
          </w:p>
        </w:tc>
        <w:tc>
          <w:tcPr>
            <w:tcW w:w="7975" w:type="dxa"/>
            <w:gridSpan w:val="3"/>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kern w:val="0"/>
                <w:sz w:val="30"/>
                <w:szCs w:val="30"/>
                <w:lang w:val="en-US" w:eastAsia="zh-CN" w:bidi="ar"/>
              </w:rPr>
            </w:pPr>
            <w:r>
              <w:rPr>
                <w:rFonts w:hint="eastAsia" w:ascii="仿宋" w:hAnsi="仿宋" w:eastAsia="仿宋" w:cs="仿宋"/>
                <w:sz w:val="30"/>
                <w:szCs w:val="30"/>
                <w:shd w:val="clear" w:fill="FFFFFF"/>
              </w:rPr>
              <w:t>其他法律法规规章禁止作为市场主体住所（经营场所）登记的情形</w:t>
            </w:r>
          </w:p>
        </w:tc>
      </w:tr>
    </w:tbl>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851E4"/>
    <w:rsid w:val="054851E4"/>
    <w:rsid w:val="553F5603"/>
    <w:rsid w:val="5B7301DB"/>
    <w:rsid w:val="5D0B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1115</Words>
  <Characters>1130</Characters>
  <Lines>0</Lines>
  <Paragraphs>0</Paragraphs>
  <TotalTime>1</TotalTime>
  <ScaleCrop>false</ScaleCrop>
  <LinksUpToDate>false</LinksUpToDate>
  <CharactersWithSpaces>1132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2022-03-07T00:08:00Z</dcterms:created>
  <dc:creator>小张</dc:creator>
  <cp:lastModifiedBy>胡召军</cp:lastModifiedBy>
  <dcterms:modified xsi:type="dcterms:W3CDTF">2022-03-30T23:42:05Z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407D39B8F20C4AE4B422187B78AB0EEF</vt:lpwstr>
  </property>
</Properties>
</file>