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53BB"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淮北市地方标准编制说明</w:t>
      </w:r>
    </w:p>
    <w:tbl>
      <w:tblPr>
        <w:tblStyle w:val="13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85"/>
        <w:gridCol w:w="3466"/>
        <w:gridCol w:w="1418"/>
        <w:gridCol w:w="1760"/>
      </w:tblGrid>
      <w:tr w14:paraId="090D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DF8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标准名称</w:t>
            </w:r>
          </w:p>
        </w:tc>
        <w:tc>
          <w:tcPr>
            <w:tcW w:w="3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E8A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康养基地养老服务指南</w:t>
            </w:r>
          </w:p>
        </w:tc>
      </w:tr>
      <w:tr w14:paraId="478B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10C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任务来源</w:t>
            </w:r>
          </w:p>
          <w:p w14:paraId="4E00609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（项目计划号）</w:t>
            </w:r>
          </w:p>
        </w:tc>
        <w:tc>
          <w:tcPr>
            <w:tcW w:w="3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B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淮北市市场监督管理局关于下达 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年淮北市地方标准制修订计划的通知，项目计划编号：202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</w:tr>
      <w:tr w14:paraId="47EC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FD2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第一起草单位</w:t>
            </w:r>
          </w:p>
          <w:p w14:paraId="559E7DD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（</w:t>
            </w:r>
            <w:r>
              <w:rPr>
                <w:rFonts w:hint="eastAsia" w:hAnsi="宋体"/>
                <w:b/>
                <w:bCs/>
                <w:color w:val="000000"/>
                <w:szCs w:val="21"/>
              </w:rPr>
              <w:t>盖章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</w:tc>
        <w:tc>
          <w:tcPr>
            <w:tcW w:w="3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4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color w:val="FF000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安徽淮海实业集团相王现代服务有限公司</w:t>
            </w:r>
          </w:p>
        </w:tc>
      </w:tr>
      <w:tr w14:paraId="1929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312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单位地址</w:t>
            </w:r>
          </w:p>
        </w:tc>
        <w:tc>
          <w:tcPr>
            <w:tcW w:w="3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8D9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2"/>
                <w:szCs w:val="21"/>
              </w:rPr>
              <w:t>安徽省淮北市相山区相山北路57号</w:t>
            </w:r>
          </w:p>
        </w:tc>
      </w:tr>
      <w:tr w14:paraId="0FC8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46B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宋体"/>
                <w:color w:val="0D0D0D" w:themeColor="text1" w:themeTint="F2"/>
                <w:kern w:val="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宋体"/>
                <w:color w:val="0D0D0D" w:themeColor="text1" w:themeTint="F2"/>
                <w:kern w:val="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参与起草单位</w:t>
            </w:r>
          </w:p>
        </w:tc>
        <w:tc>
          <w:tcPr>
            <w:tcW w:w="3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85C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书宋_GBK" w:hAnsi="方正书宋_GBK" w:eastAsia="方正书宋_GBK" w:cs="方正书宋_GBK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淮北市民政局</w:t>
            </w:r>
          </w:p>
        </w:tc>
      </w:tr>
      <w:tr w14:paraId="07AA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DC9CE">
            <w:pPr>
              <w:pStyle w:val="19"/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420" w:right="0"/>
              <w:rPr>
                <w:rFonts w:hint="default" w:ascii="宋体" w:hAnsi="宋体" w:eastAsia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标准起草人</w:t>
            </w:r>
          </w:p>
          <w:p w14:paraId="2D38DEA9">
            <w:pPr>
              <w:pStyle w:val="19"/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420" w:right="0"/>
              <w:rPr>
                <w:rFonts w:hint="default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（全部起草人，应与标准文本前言中起草人排序一致）</w:t>
            </w:r>
          </w:p>
        </w:tc>
      </w:tr>
      <w:tr w14:paraId="4B1C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DFF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4A1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415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69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19C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</w:tr>
      <w:tr w14:paraId="22D1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376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8BB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宋莉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891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安徽淮海实业集团相王现代服务有限公司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D5E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康养事业部</w:t>
            </w:r>
          </w:p>
          <w:p w14:paraId="7E72588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经理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5E0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13665610211</w:t>
            </w:r>
          </w:p>
        </w:tc>
      </w:tr>
      <w:tr w14:paraId="7927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D97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EE8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范婷婷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C11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淮北市民政局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612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养老服务科科长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ADC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0561-3022019</w:t>
            </w:r>
          </w:p>
        </w:tc>
      </w:tr>
      <w:tr w14:paraId="0FAC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AA0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F8F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毛贝贝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967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淮北市民政局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86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hAnsi="宋体" w:eastAsia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养老服务指导中心副主任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CFD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0561-3054343</w:t>
            </w:r>
            <w:bookmarkStart w:id="30" w:name="_GoBack"/>
            <w:bookmarkEnd w:id="30"/>
          </w:p>
        </w:tc>
      </w:tr>
      <w:tr w14:paraId="02E4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811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ED5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485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E96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52B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A32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345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625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4F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E26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B01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55E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C03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835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7EF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5C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D64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9DA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9ED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443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A2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B2A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58B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B0D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EE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8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096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8CE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58B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976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</w:tr>
      <w:tr w14:paraId="0E30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832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9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58E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094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BB1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C51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</w:tr>
      <w:tr w14:paraId="14F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E6D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10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719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0A2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CBD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405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</w:tr>
      <w:tr w14:paraId="3B40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919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11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AA3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8B2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25F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D0D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hanging="420" w:hangingChars="200"/>
              <w:jc w:val="center"/>
              <w:rPr>
                <w:rFonts w:hint="default" w:hAnsi="宋体"/>
                <w:color w:val="000000"/>
                <w:szCs w:val="21"/>
              </w:rPr>
            </w:pPr>
          </w:p>
        </w:tc>
      </w:tr>
      <w:tr w14:paraId="4C3F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E91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firstLine="0" w:firstLineChars="0"/>
              <w:jc w:val="center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编制情况</w:t>
            </w:r>
          </w:p>
        </w:tc>
      </w:tr>
      <w:tr w14:paraId="4E5D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B57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1、编制过程简介</w:t>
            </w:r>
          </w:p>
        </w:tc>
      </w:tr>
      <w:tr w14:paraId="50B2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ECA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Cs w:val="21"/>
              </w:rPr>
              <w:t>日，收到《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淮北市市场监督管理局关于下达 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年淮北市地方标准制修订计划的通知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》后，成立标准编制小组。 </w:t>
            </w:r>
          </w:p>
          <w:p w14:paraId="2E60EA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（1）制定起草工作计划</w:t>
            </w:r>
          </w:p>
          <w:p w14:paraId="0C381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22日</w:t>
            </w:r>
            <w:r>
              <w:rPr>
                <w:rFonts w:hint="eastAsia" w:ascii="宋体" w:hAnsi="宋体"/>
                <w:color w:val="000000"/>
                <w:szCs w:val="21"/>
              </w:rPr>
              <w:t>，由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安徽淮海实业集团相王现代服务有限公司</w:t>
            </w:r>
            <w:r>
              <w:rPr>
                <w:rFonts w:hint="eastAsia" w:hAnsi="宋体"/>
                <w:color w:val="000000"/>
                <w:szCs w:val="21"/>
              </w:rPr>
              <w:t>牵头成立标准编制小组。明确了小组成员、职责，明确了标准起草的进度安排及工作分工，为提高编制人员的编制能力，对相关编制人员进行标准化基础知识专项培训，对地方标准编制项目进行指导培训，同时组织人员开展</w:t>
            </w:r>
            <w:r>
              <w:rPr>
                <w:rFonts w:hint="eastAsia" w:hAnsi="宋体"/>
                <w:lang w:val="en-US" w:eastAsia="zh-CN"/>
              </w:rPr>
              <w:t>康养基地养老</w:t>
            </w:r>
            <w:r>
              <w:rPr>
                <w:rFonts w:hint="eastAsia" w:hAnsi="宋体"/>
              </w:rPr>
              <w:t>工作</w:t>
            </w:r>
            <w:r>
              <w:rPr>
                <w:rFonts w:hint="eastAsia" w:hAnsi="宋体"/>
                <w:color w:val="000000"/>
                <w:szCs w:val="21"/>
              </w:rPr>
              <w:t>方面资料的收集与整理工作，为标准编写做好准备工作。</w:t>
            </w:r>
          </w:p>
          <w:p w14:paraId="7BC7AC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（2）形成标准讨论稿</w:t>
            </w:r>
          </w:p>
          <w:p w14:paraId="4FC9A5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标准起草工作组组织相关标准起草人员及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养老方面专业</w:t>
            </w:r>
            <w:r>
              <w:rPr>
                <w:rFonts w:hint="eastAsia" w:ascii="宋体" w:hAnsi="宋体"/>
                <w:color w:val="000000"/>
                <w:szCs w:val="21"/>
              </w:rPr>
              <w:t>人员进行了多次研讨、明确了标准核心技术要求、细致修改了标准草案，于202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30日</w:t>
            </w:r>
            <w:r>
              <w:rPr>
                <w:rFonts w:hint="eastAsia" w:ascii="宋体" w:hAnsi="宋体"/>
                <w:color w:val="000000"/>
                <w:szCs w:val="21"/>
              </w:rPr>
              <w:t>形成了标准讨论稿。</w:t>
            </w:r>
          </w:p>
          <w:p w14:paraId="26DF3A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（3）形成标准征求意见稿</w:t>
            </w:r>
          </w:p>
          <w:p w14:paraId="237B02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日，标准起草小组召开线上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及线下</w:t>
            </w:r>
            <w:r>
              <w:rPr>
                <w:rFonts w:hint="eastAsia" w:ascii="宋体" w:hAnsi="宋体"/>
                <w:color w:val="000000"/>
                <w:szCs w:val="21"/>
              </w:rPr>
              <w:t>标准征求意见讨论会，会后，标准起草工作组根据会议意见及建议对标准进行了反复修改，于202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月1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日形成标准征求意见稿及相关材料。</w:t>
            </w:r>
          </w:p>
          <w:p w14:paraId="6345FF2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C47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279F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2、制定标准的必要性和意义</w:t>
            </w:r>
          </w:p>
        </w:tc>
      </w:tr>
      <w:tr w14:paraId="29E5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7428">
            <w:pPr>
              <w:keepNext w:val="0"/>
              <w:keepLines w:val="0"/>
              <w:widowControl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必要性：</w:t>
            </w:r>
          </w:p>
          <w:p w14:paraId="0EF645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着中国进入深度老龄化社会，养老服务业迎来了快速发展的时期。老年人口的增加导致对养老服务的需求日益多样化和个性化。康养基地作为提供专业化养老服务的机构，越来越受到社会的广泛关注。康养基地养老服务，特别是针对有特殊需求或希望改善生活质量的老年人群体，提供了一种新的选择。这种服务不仅包括基础的生活照料，还涵盖了医疗护理、康复治疗、心理慰藉等多元化服务。</w:t>
            </w:r>
          </w:p>
          <w:p w14:paraId="43E3A2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尽管市场需求不断增长，但康养基地养老服务在发展过程中也面临着一系列问题和挑战。首先，服务质量参差不齐，缺乏统一的标准和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指南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来指导服务提供。其次，部分康养基地存在服务人员专业技能不足、服务态度有待提升的问题。此外，监管机制不健全，一些非法运营或者不符合资质的服务机构存在较大隐患。技术和管理水平的地区差异也导致了服务质量的不均衡分布。并且目前尚缺乏此类标准用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康养基地养老服务行业工作，因此制定《康养基地养老服务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指南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》标准是目前紧急且必要的工作，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其必要性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在于：</w:t>
            </w:r>
          </w:p>
          <w:p w14:paraId="335E90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(1)应对老龄化挑战：中国正面临严峻的人口老龄化问题，老年人口数量迅速增加，对养老服务的需求日益增长。制定相关标准是及时响应社会需求、保障老年人福祉的重要举措。</w:t>
            </w:r>
          </w:p>
          <w:p w14:paraId="0CBC02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(2)规范行业发展：随着养老服务市场的扩大，行业内部出现了质量不一、服务不规范的现象。建立标准可以引导和规范康养基地的运营和服务，提升整个行业的发展水平。</w:t>
            </w:r>
          </w:p>
          <w:p w14:paraId="5E9AE9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(3)促进健康养老：康养基地养老服务不仅提供基础生活照料，还包括医疗护理和康复治疗等，直接关系到老年人的健康与生活质量。标准化有助于确保服务的专业性和安全性。</w:t>
            </w:r>
          </w:p>
          <w:p w14:paraId="0FDF20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(4)维护老年人权益：统一的服务标准有助于保护老年人的利益，防止不良机构利用老年人的弱势地位进行不当盈利，确保老年人获得应有的尊重和照顾。</w:t>
            </w:r>
          </w:p>
          <w:p w14:paraId="24A6E9FB">
            <w:pPr>
              <w:keepNext w:val="0"/>
              <w:keepLines w:val="0"/>
              <w:widowControl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意义：</w:t>
            </w:r>
          </w:p>
          <w:p w14:paraId="534422C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康养基地养老服务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指南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》淮北市地方标准的制定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，能够很好的弥补淮北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康养基地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没有专用地方标准的空白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，对于规范行业发展、保障老年人权益、提高服务质量具有重要的现实意义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；同时，让企业实际工作及主管部门监管有标可依；通过该标准的制定和实施，可以有效解决当前养老服务中存在的问题，推动健康养老服务业向更加专业、高效、安全的方向发展。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具体来说，制定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康养基地养老服务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指南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意义在于：</w:t>
            </w:r>
          </w:p>
          <w:p w14:paraId="79F5289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(1)统一服务标准：解决目前市场上存在的服务质量良莠不齐的问题，通过制定一系列可操作的标准来规范服务行为，提高服务质量。</w:t>
            </w:r>
          </w:p>
          <w:p w14:paraId="161CDD3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(2)增强行业监管：明确服务提供者的资质要求和服务内容，加强对养老服务机构的监督管理，及时发现并纠正不符合规定的行为。</w:t>
            </w:r>
          </w:p>
          <w:p w14:paraId="4F5DCE9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(3)提升服务人员素质：通过标准的实施推动养老服务人员的专业培训和能力提升，增强其服务意识和技能水平。</w:t>
            </w:r>
          </w:p>
          <w:p w14:paraId="7C17E3F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(4)保障服务安全：制定相应的安全规范和应急处理措施，减少安全事故的发生，为老年人提供一个安全的服务环境。</w:t>
            </w:r>
          </w:p>
          <w:p w14:paraId="4658C92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(5)推动技术创新和应用：鼓励和指导康养基地利用现代信息技术改善服务方式，提高服务效率和质量。</w:t>
            </w:r>
          </w:p>
          <w:p w14:paraId="4A3DFAB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(6)促进资源优化配置：合理规划和分配养老服务资源，避免资源浪费，确保养老服务的可持续发展。</w:t>
            </w:r>
          </w:p>
          <w:p w14:paraId="65E43BD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EDB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95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3、制定标准的原则和依据，与现行法律法规、标准的关系</w:t>
            </w:r>
          </w:p>
        </w:tc>
      </w:tr>
      <w:tr w14:paraId="0838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8CCA"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本文件本着科学、规范、统一和实用的原则，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宋体" w:hAnsi="宋体"/>
              </w:rPr>
              <w:t>淮北康养基地养老服务的技术要点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进行总结提炼，参考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养老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方面的国家标准和行业标准。</w:t>
            </w:r>
            <w:r>
              <w:rPr>
                <w:rFonts w:hint="default"/>
              </w:rPr>
              <w:t>与现行</w:t>
            </w:r>
            <w:r>
              <w:rPr>
                <w:rFonts w:hint="eastAsia"/>
              </w:rPr>
              <w:t>法律、</w:t>
            </w:r>
            <w:r>
              <w:rPr>
                <w:rFonts w:hint="default"/>
              </w:rPr>
              <w:t>标准无冲突</w:t>
            </w:r>
            <w:r>
              <w:rPr>
                <w:rFonts w:hint="eastAsia"/>
              </w:rPr>
              <w:t>。</w:t>
            </w:r>
          </w:p>
          <w:p w14:paraId="19E4AE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编制依据：</w:t>
            </w:r>
          </w:p>
          <w:p w14:paraId="3A027981"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</w:t>
            </w:r>
            <w:r>
              <w:rPr>
                <w:rFonts w:hint="eastAsia"/>
              </w:rPr>
              <w:t>按照《GB/T 1.1-2020 标准化工作导则 第1部分：标准化文件的结构和起草规则》的相关规定进行编写，在术语定义、结构版式以及单位符号等方面保持一致性。</w:t>
            </w:r>
          </w:p>
          <w:p w14:paraId="284CCAE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szCs w:val="20"/>
              </w:rPr>
              <w:t>2.相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关的政策法规：《“十四五”民政事业发展规划》《“十四五”国家老龄事业发展和养老服务体系规划》《安徽省人民政府办公厅关于加快促进养老产业发展的意见》。</w:t>
            </w:r>
          </w:p>
          <w:p w14:paraId="3AC97A89">
            <w:pPr>
              <w:pStyle w:val="6"/>
              <w:keepNext w:val="0"/>
              <w:keepLines w:val="0"/>
              <w:suppressLineNumbers w:val="0"/>
              <w:tabs>
                <w:tab w:val="left" w:pos="2680"/>
              </w:tabs>
              <w:spacing w:before="0" w:beforeAutospacing="0" w:after="0" w:afterAutospacing="0"/>
              <w:ind w:left="0" w:leftChars="0" w:right="0" w:firstLine="420" w:firstLineChars="200"/>
              <w:rPr>
                <w:rFonts w:hint="default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3.相关标准：</w:t>
            </w:r>
            <w:r>
              <w:rPr>
                <w:rFonts w:hint="eastAsia"/>
              </w:rPr>
              <w:t>GB/T 29353《养老机构基本规范》、GB/T 35796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《养老机构服务质量基本规范》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</w:rPr>
              <w:t>DB34/T 4357《健康养老基地建设指南》。</w:t>
            </w:r>
          </w:p>
          <w:p w14:paraId="6E68FD8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宋体"/>
                <w:color w:val="000000"/>
                <w:kern w:val="2"/>
                <w:szCs w:val="21"/>
              </w:rPr>
            </w:pPr>
          </w:p>
        </w:tc>
      </w:tr>
      <w:tr w14:paraId="792B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4C4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宋体"/>
                <w:color w:val="000000"/>
                <w:kern w:val="2"/>
                <w:szCs w:val="21"/>
              </w:rPr>
            </w:pPr>
            <w:r>
              <w:rPr>
                <w:rFonts w:hint="eastAsia" w:hAnsi="宋体"/>
                <w:szCs w:val="21"/>
              </w:rPr>
              <w:t>4、主要条款的说明，主要技术指标、参数、试验验证的论述（</w:t>
            </w:r>
            <w:r>
              <w:rPr>
                <w:rFonts w:hint="eastAsia" w:hAnsi="宋体"/>
                <w:b/>
                <w:szCs w:val="21"/>
              </w:rPr>
              <w:t>详细说明</w:t>
            </w:r>
            <w:r>
              <w:rPr>
                <w:rFonts w:hint="eastAsia" w:hAnsi="宋体"/>
                <w:szCs w:val="21"/>
              </w:rPr>
              <w:t>）</w:t>
            </w:r>
          </w:p>
        </w:tc>
      </w:tr>
      <w:tr w14:paraId="14A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BB4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主要条款：</w:t>
            </w:r>
          </w:p>
          <w:p w14:paraId="5C5EEDA9">
            <w:pPr>
              <w:keepNext w:val="0"/>
              <w:keepLines w:val="0"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本文件规定了康养基地养老服务的总体原则、基本要求、养老基本服务、养老特色服务、个性化服务、养老安全管理、养老服务质量管理等要求。</w:t>
            </w:r>
          </w:p>
          <w:p w14:paraId="1656AC8A">
            <w:pPr>
              <w:keepNext w:val="0"/>
              <w:keepLines w:val="0"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本文件适用于康养基地养老的服务与管理</w:t>
            </w:r>
            <w:r>
              <w:rPr>
                <w:rFonts w:hint="eastAsia"/>
                <w:lang w:eastAsia="zh-CN"/>
              </w:rPr>
              <w:t>。</w:t>
            </w:r>
          </w:p>
          <w:p w14:paraId="7A3AA4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主要技术指标、参数：</w:t>
            </w:r>
          </w:p>
          <w:p w14:paraId="2782D556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1）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养老基本服务</w:t>
            </w:r>
          </w:p>
          <w:p w14:paraId="387026EC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本章节对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康养基地的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生活照料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医疗护理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心理关怀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社交活动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文化娱乐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紧急响应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法律咨询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交通服务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个性化服务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信息服务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内容进行了规定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。</w:t>
            </w:r>
          </w:p>
          <w:p w14:paraId="76EB1F1E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2）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养老特色服务</w:t>
            </w:r>
          </w:p>
          <w:p w14:paraId="1ECA05BF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eastAsia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本章节对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康养基地的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环境适应性服务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旅游结合型服务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医疗护理专业服务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医保服务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文化体验活动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亲情交流支持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定制化饮食服务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紧急救援服务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等方面进行了规定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。</w:t>
            </w:r>
          </w:p>
          <w:p w14:paraId="49C3EBB6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个性化服务</w:t>
            </w:r>
          </w:p>
          <w:p w14:paraId="25EA3CC6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本章节对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康养基地的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详细评估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定制化计划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多样化服务选项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建立个人档案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信息技术支持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培训专业人员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紧急应对机制等内容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进行了规定。</w:t>
            </w:r>
          </w:p>
          <w:p w14:paraId="05F3FA73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养老安全管理</w:t>
            </w:r>
          </w:p>
          <w:p w14:paraId="476DE1F1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本章节对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康养基地的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健康与医疗安全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设施和环境安全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心理健康支持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紧急响应与应急预案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数据安全与隐私保护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员工安全培训与管理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食品安全与营养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交通出行安全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家属沟通与参与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法律法规遵守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持续监督和改进等内容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进行了规定。</w:t>
            </w:r>
          </w:p>
          <w:p w14:paraId="6920495D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养老服务质量管理</w:t>
            </w:r>
          </w:p>
          <w:p w14:paraId="46456302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本章节对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康养基地的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服务标准体系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质量监控体系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员工培训与管理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客户反馈机制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客户满意度调查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持续改进等内容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进行了规定。</w:t>
            </w:r>
          </w:p>
          <w:p w14:paraId="3997D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outlineLvl w:val="3"/>
              <w:rPr>
                <w:rFonts w:hint="default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试验验证的论述：</w:t>
            </w:r>
          </w:p>
          <w:p w14:paraId="34829BDA">
            <w:pPr>
              <w:pStyle w:val="1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leftChars="0" w:right="0" w:firstLine="420" w:firstLineChars="200"/>
              <w:rPr>
                <w:rFonts w:hint="default" w:cs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 w:cs="Times New Roman"/>
                <w:sz w:val="21"/>
                <w:szCs w:val="20"/>
              </w:rPr>
              <w:t>本文件的技术是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安徽淮海实业集团相王现代服务有限公司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等起草单位经过</w:t>
            </w:r>
            <w:r>
              <w:rPr>
                <w:rFonts w:hint="eastAsia" w:hAnsi="Times New Roman" w:cs="Times New Roman"/>
                <w:sz w:val="21"/>
                <w:szCs w:val="20"/>
              </w:rPr>
              <w:t>十余年</w:t>
            </w:r>
            <w:r>
              <w:rPr>
                <w:rFonts w:hint="eastAsia" w:hAnsi="Times New Roman" w:cs="Times New Roman"/>
                <w:sz w:val="21"/>
                <w:szCs w:val="20"/>
                <w:lang w:val="en-US" w:eastAsia="zh-CN"/>
              </w:rPr>
              <w:t>沉淀</w:t>
            </w:r>
            <w:r>
              <w:rPr>
                <w:rFonts w:hint="eastAsia" w:hAnsi="Times New Roman" w:cs="Times New Roman"/>
                <w:sz w:val="21"/>
                <w:szCs w:val="20"/>
              </w:rPr>
              <w:t>，在</w:t>
            </w:r>
            <w:r>
              <w:rPr>
                <w:rFonts w:hint="eastAsia" w:hAnsi="Times New Roman" w:cs="Times New Roman"/>
                <w:sz w:val="21"/>
                <w:szCs w:val="20"/>
                <w:lang w:val="en-US" w:eastAsia="zh-CN"/>
              </w:rPr>
              <w:t>养老服务</w:t>
            </w:r>
            <w:r>
              <w:rPr>
                <w:rFonts w:hint="eastAsia" w:hAnsi="Times New Roman" w:cs="Times New Roman"/>
                <w:sz w:val="21"/>
                <w:szCs w:val="20"/>
              </w:rPr>
              <w:t>工作过程中积累的经验</w:t>
            </w:r>
            <w:r>
              <w:rPr>
                <w:rFonts w:hint="eastAsia" w:hAnsi="Times New Roman" w:cs="Times New Roman"/>
                <w:sz w:val="21"/>
                <w:szCs w:val="20"/>
                <w:lang w:val="en-US" w:eastAsia="zh-CN"/>
              </w:rPr>
              <w:t>总结</w:t>
            </w:r>
            <w:r>
              <w:rPr>
                <w:rFonts w:hint="eastAsia" w:hAnsi="Times New Roman" w:cs="Times New Roman"/>
                <w:sz w:val="21"/>
                <w:szCs w:val="20"/>
              </w:rPr>
              <w:t>，</w:t>
            </w:r>
            <w:r>
              <w:rPr>
                <w:rFonts w:hint="eastAsia" w:hAnsi="Times New Roman" w:cs="Times New Roman"/>
                <w:sz w:val="21"/>
                <w:szCs w:val="20"/>
                <w:lang w:val="en-US" w:eastAsia="zh-CN"/>
              </w:rPr>
              <w:t>参与起草单位</w:t>
            </w:r>
            <w:r>
              <w:rPr>
                <w:rFonts w:hint="eastAsia" w:hAnsi="Times New Roman" w:cs="Times New Roman"/>
                <w:sz w:val="21"/>
                <w:szCs w:val="20"/>
              </w:rPr>
              <w:t>按照标准文本的要求，对标准文本的技术要求进行验证，试验结果表明标准的内容符合的实际情况，指标设置合理，代表淮北市淮北</w:t>
            </w:r>
            <w:r>
              <w:rPr>
                <w:rFonts w:hint="eastAsia" w:hAnsi="Times New Roman" w:cs="Times New Roman"/>
                <w:sz w:val="21"/>
                <w:szCs w:val="20"/>
                <w:lang w:val="en-US" w:eastAsia="zh-CN"/>
              </w:rPr>
              <w:t>康养基地养老服务</w:t>
            </w:r>
            <w:r>
              <w:rPr>
                <w:rFonts w:hint="eastAsia" w:hAnsi="Times New Roman" w:cs="Times New Roman"/>
                <w:sz w:val="21"/>
                <w:szCs w:val="20"/>
              </w:rPr>
              <w:t>实际操作水平。</w:t>
            </w:r>
          </w:p>
        </w:tc>
      </w:tr>
      <w:tr w14:paraId="14E3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B90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0" w:name="_Toc464905809"/>
            <w:bookmarkStart w:id="1" w:name="_Toc464905557"/>
            <w:bookmarkStart w:id="2" w:name="_Toc464905613"/>
            <w:bookmarkStart w:id="3" w:name="_Toc464902852"/>
            <w:bookmarkStart w:id="4" w:name="_Toc465074266"/>
            <w:r>
              <w:rPr>
                <w:rFonts w:hint="eastAsia" w:hAnsi="宋体"/>
                <w:color w:val="000000"/>
                <w:szCs w:val="21"/>
              </w:rPr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 w14:paraId="08EB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159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本标准不涉及任何专利</w:t>
            </w:r>
          </w:p>
        </w:tc>
      </w:tr>
      <w:tr w14:paraId="6722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D4F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5" w:name="_Toc464905558"/>
            <w:bookmarkStart w:id="6" w:name="_Toc464902853"/>
            <w:bookmarkStart w:id="7" w:name="_Toc464905810"/>
            <w:bookmarkStart w:id="8" w:name="_Toc464905614"/>
            <w:bookmarkStart w:id="9" w:name="_Toc465074267"/>
            <w:r>
              <w:rPr>
                <w:rFonts w:hint="eastAsia" w:hAnsi="宋体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 w14:paraId="21B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843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 w14:paraId="18EF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2C2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10" w:name="_Toc464902854"/>
            <w:bookmarkStart w:id="11" w:name="_Toc464905615"/>
            <w:bookmarkStart w:id="12" w:name="_Toc464905559"/>
            <w:bookmarkStart w:id="13" w:name="_Toc464905811"/>
            <w:bookmarkStart w:id="14" w:name="_Toc465074268"/>
            <w:r>
              <w:rPr>
                <w:rFonts w:hint="eastAsia" w:hAnsi="宋体"/>
                <w:color w:val="000000"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14:paraId="6BF6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6696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本标准制定过程中，尚无出现未采纳的重大分歧意见。</w:t>
            </w:r>
          </w:p>
        </w:tc>
      </w:tr>
      <w:tr w14:paraId="14F1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40F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15" w:name="_Toc464905560"/>
            <w:bookmarkStart w:id="16" w:name="_Toc464905616"/>
            <w:bookmarkStart w:id="17" w:name="_Toc465074269"/>
            <w:bookmarkStart w:id="18" w:name="_Toc464902855"/>
            <w:bookmarkStart w:id="19" w:name="_Toc464905812"/>
            <w:r>
              <w:rPr>
                <w:rFonts w:hint="eastAsia" w:hAnsi="宋体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14:paraId="37E2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140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组织措施：淮北市市场监督管理局、淮北市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民政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局提供实施指导及管理，标准起草工作组成员单位通过宣讲会等形式进行标准贯彻。</w:t>
            </w:r>
          </w:p>
          <w:p w14:paraId="3AECEA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技术措施：本文件起草工作组根据实际工作中积累的实践经验，开展《</w:t>
            </w:r>
            <w:r>
              <w:rPr>
                <w:rFonts w:hint="eastAsia" w:hAnsi="宋体"/>
                <w:szCs w:val="21"/>
              </w:rPr>
              <w:t>康养基地养老服务指南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》标准技术的宣传和推广。</w:t>
            </w:r>
          </w:p>
          <w:p w14:paraId="359FAA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过渡办法：通过标准起草工作组成员所在的单位，围绕实际工作范围进行标准的推广和应用。</w:t>
            </w:r>
          </w:p>
          <w:p w14:paraId="0FD845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实施日期：自标准颁布之日起实施。</w:t>
            </w:r>
          </w:p>
        </w:tc>
      </w:tr>
      <w:tr w14:paraId="16DD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5BFE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20" w:name="_Toc464905561"/>
            <w:bookmarkStart w:id="21" w:name="_Toc464905617"/>
            <w:bookmarkStart w:id="22" w:name="_Toc464902856"/>
            <w:bookmarkStart w:id="23" w:name="_Toc465074270"/>
            <w:bookmarkStart w:id="24" w:name="_Toc464905813"/>
            <w:r>
              <w:rPr>
                <w:rFonts w:hint="eastAsia" w:hAnsi="宋体"/>
                <w:color w:val="000000"/>
                <w:szCs w:val="21"/>
              </w:rPr>
              <w:t>9、废止现行相关标准的建议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14:paraId="7F57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C8C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0" w:right="0" w:firstLine="0" w:firstLineChars="0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无</w:t>
            </w:r>
          </w:p>
        </w:tc>
      </w:tr>
      <w:tr w14:paraId="188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4B56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rPr>
                <w:rFonts w:hint="default" w:hAnsi="宋体"/>
                <w:color w:val="000000"/>
                <w:szCs w:val="20"/>
              </w:rPr>
            </w:pPr>
            <w:bookmarkStart w:id="25" w:name="_Toc465074271"/>
            <w:bookmarkStart w:id="26" w:name="_Toc464905562"/>
            <w:bookmarkStart w:id="27" w:name="_Toc464905814"/>
            <w:bookmarkStart w:id="28" w:name="_Toc464905618"/>
            <w:bookmarkStart w:id="29" w:name="_Toc464902857"/>
            <w:r>
              <w:rPr>
                <w:rFonts w:hint="eastAsia" w:hAnsi="宋体"/>
                <w:color w:val="000000"/>
                <w:szCs w:val="21"/>
              </w:rPr>
              <w:t>10、其它应予说明的事项</w:t>
            </w:r>
            <w:bookmarkEnd w:id="25"/>
            <w:bookmarkEnd w:id="26"/>
            <w:bookmarkEnd w:id="27"/>
            <w:bookmarkEnd w:id="28"/>
            <w:bookmarkEnd w:id="29"/>
          </w:p>
        </w:tc>
      </w:tr>
      <w:tr w14:paraId="090B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46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600" w:right="0" w:hanging="180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</w:tbl>
    <w:p w14:paraId="427EC1DA">
      <w:pPr>
        <w:rPr>
          <w:rFonts w:ascii="仿宋_GB2312" w:eastAsia="仿宋_GB2312"/>
          <w:b/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color w:val="000000"/>
          <w:kern w:val="0"/>
          <w:szCs w:val="21"/>
        </w:rPr>
        <w:t>注：没有的请填写 “无”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-363" w:firstLine="0"/>
      </w:pPr>
      <w:rPr>
        <w:rFonts w:hint="eastAsia"/>
      </w:rPr>
    </w:lvl>
    <w:lvl w:ilvl="1" w:tentative="0">
      <w:start w:val="1"/>
      <w:numFmt w:val="decimal"/>
      <w:pStyle w:val="36"/>
      <w:suff w:val="nothing"/>
      <w:lvlText w:val="%1%2　"/>
      <w:lvlJc w:val="left"/>
      <w:pPr>
        <w:ind w:left="-363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5"/>
      <w:suff w:val="nothing"/>
      <w:lvlText w:val="%1%2.%3　"/>
      <w:lvlJc w:val="left"/>
      <w:pPr>
        <w:ind w:left="-36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38"/>
      <w:suff w:val="nothing"/>
      <w:lvlText w:val="%1%2.%3.%4　"/>
      <w:lvlJc w:val="left"/>
      <w:pPr>
        <w:ind w:left="-363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1339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363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88"/>
        </w:tabs>
        <w:ind w:left="360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414"/>
        </w:tabs>
        <w:ind w:left="4314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0" w:tentative="0">
      <w:start w:val="1"/>
      <w:numFmt w:val="none"/>
      <w:pStyle w:val="32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WZiYzZmMWEwMjBhZDE5NWVlZDIzMzkxOWNhMDgifQ=="/>
  </w:docVars>
  <w:rsids>
    <w:rsidRoot w:val="00260BB9"/>
    <w:rsid w:val="00001A78"/>
    <w:rsid w:val="00007080"/>
    <w:rsid w:val="0001727D"/>
    <w:rsid w:val="00022E9E"/>
    <w:rsid w:val="00023559"/>
    <w:rsid w:val="00025A53"/>
    <w:rsid w:val="000276C5"/>
    <w:rsid w:val="00036EA2"/>
    <w:rsid w:val="00041EE2"/>
    <w:rsid w:val="0004449A"/>
    <w:rsid w:val="0004451E"/>
    <w:rsid w:val="00053D03"/>
    <w:rsid w:val="0005469B"/>
    <w:rsid w:val="000571C8"/>
    <w:rsid w:val="00057526"/>
    <w:rsid w:val="00063972"/>
    <w:rsid w:val="00081979"/>
    <w:rsid w:val="000A75ED"/>
    <w:rsid w:val="000B4D5C"/>
    <w:rsid w:val="000B79E5"/>
    <w:rsid w:val="000E67F9"/>
    <w:rsid w:val="000F4EC8"/>
    <w:rsid w:val="001002D5"/>
    <w:rsid w:val="00100FBF"/>
    <w:rsid w:val="001012FD"/>
    <w:rsid w:val="001034EA"/>
    <w:rsid w:val="001049AF"/>
    <w:rsid w:val="00104C35"/>
    <w:rsid w:val="00112852"/>
    <w:rsid w:val="00127DEC"/>
    <w:rsid w:val="0014505F"/>
    <w:rsid w:val="00157771"/>
    <w:rsid w:val="0016157E"/>
    <w:rsid w:val="00162104"/>
    <w:rsid w:val="00180962"/>
    <w:rsid w:val="00182520"/>
    <w:rsid w:val="00190F40"/>
    <w:rsid w:val="00195ABC"/>
    <w:rsid w:val="001A3E64"/>
    <w:rsid w:val="001A4BEA"/>
    <w:rsid w:val="001A748C"/>
    <w:rsid w:val="001F069A"/>
    <w:rsid w:val="00203520"/>
    <w:rsid w:val="00204BE1"/>
    <w:rsid w:val="00207B3B"/>
    <w:rsid w:val="00222730"/>
    <w:rsid w:val="00227EB2"/>
    <w:rsid w:val="00245895"/>
    <w:rsid w:val="00260BB9"/>
    <w:rsid w:val="00281A47"/>
    <w:rsid w:val="00293E64"/>
    <w:rsid w:val="002A086B"/>
    <w:rsid w:val="002B5966"/>
    <w:rsid w:val="002C340B"/>
    <w:rsid w:val="002C3B67"/>
    <w:rsid w:val="002D5188"/>
    <w:rsid w:val="002F4CE3"/>
    <w:rsid w:val="002F587F"/>
    <w:rsid w:val="002F7A4F"/>
    <w:rsid w:val="00310BEB"/>
    <w:rsid w:val="00312229"/>
    <w:rsid w:val="00330145"/>
    <w:rsid w:val="00337F19"/>
    <w:rsid w:val="0035633C"/>
    <w:rsid w:val="00370C9E"/>
    <w:rsid w:val="00391C2D"/>
    <w:rsid w:val="003A639D"/>
    <w:rsid w:val="003C3681"/>
    <w:rsid w:val="003F031E"/>
    <w:rsid w:val="003F5300"/>
    <w:rsid w:val="00405B4E"/>
    <w:rsid w:val="00422121"/>
    <w:rsid w:val="004302C3"/>
    <w:rsid w:val="00433F77"/>
    <w:rsid w:val="004406B5"/>
    <w:rsid w:val="00443E61"/>
    <w:rsid w:val="0045418F"/>
    <w:rsid w:val="004730E5"/>
    <w:rsid w:val="00475B28"/>
    <w:rsid w:val="00482ACC"/>
    <w:rsid w:val="00483C1E"/>
    <w:rsid w:val="00486EEF"/>
    <w:rsid w:val="00490939"/>
    <w:rsid w:val="004C179B"/>
    <w:rsid w:val="004D6B76"/>
    <w:rsid w:val="004F725E"/>
    <w:rsid w:val="00514581"/>
    <w:rsid w:val="005146B3"/>
    <w:rsid w:val="00537820"/>
    <w:rsid w:val="0055094D"/>
    <w:rsid w:val="005509A8"/>
    <w:rsid w:val="00552105"/>
    <w:rsid w:val="00552850"/>
    <w:rsid w:val="005574FC"/>
    <w:rsid w:val="00574340"/>
    <w:rsid w:val="0058221D"/>
    <w:rsid w:val="0058545F"/>
    <w:rsid w:val="005913DC"/>
    <w:rsid w:val="00593F34"/>
    <w:rsid w:val="005960D5"/>
    <w:rsid w:val="005B1DE1"/>
    <w:rsid w:val="005B3CF7"/>
    <w:rsid w:val="005B5AAE"/>
    <w:rsid w:val="005C0A37"/>
    <w:rsid w:val="005C166F"/>
    <w:rsid w:val="005D78D8"/>
    <w:rsid w:val="005E48DB"/>
    <w:rsid w:val="005F594D"/>
    <w:rsid w:val="006031E0"/>
    <w:rsid w:val="00605F20"/>
    <w:rsid w:val="006101B4"/>
    <w:rsid w:val="00613858"/>
    <w:rsid w:val="00624179"/>
    <w:rsid w:val="006246D7"/>
    <w:rsid w:val="00625AD4"/>
    <w:rsid w:val="0062739B"/>
    <w:rsid w:val="00636A15"/>
    <w:rsid w:val="0064243A"/>
    <w:rsid w:val="00653F3F"/>
    <w:rsid w:val="006608D6"/>
    <w:rsid w:val="00666BB9"/>
    <w:rsid w:val="00683B28"/>
    <w:rsid w:val="006A45BF"/>
    <w:rsid w:val="006B1DF0"/>
    <w:rsid w:val="006B418F"/>
    <w:rsid w:val="006C66A7"/>
    <w:rsid w:val="006D3512"/>
    <w:rsid w:val="006E1BC2"/>
    <w:rsid w:val="00710414"/>
    <w:rsid w:val="00722B7B"/>
    <w:rsid w:val="007362CB"/>
    <w:rsid w:val="0075793A"/>
    <w:rsid w:val="007718F0"/>
    <w:rsid w:val="007B1411"/>
    <w:rsid w:val="007D616F"/>
    <w:rsid w:val="007D769C"/>
    <w:rsid w:val="007E61A4"/>
    <w:rsid w:val="007E6B36"/>
    <w:rsid w:val="007E741E"/>
    <w:rsid w:val="007F27EB"/>
    <w:rsid w:val="007F517E"/>
    <w:rsid w:val="007F7112"/>
    <w:rsid w:val="008111D0"/>
    <w:rsid w:val="00831ED5"/>
    <w:rsid w:val="00833BC3"/>
    <w:rsid w:val="008473BA"/>
    <w:rsid w:val="008475F6"/>
    <w:rsid w:val="00855BBA"/>
    <w:rsid w:val="00862839"/>
    <w:rsid w:val="008776F9"/>
    <w:rsid w:val="00884E61"/>
    <w:rsid w:val="008939C7"/>
    <w:rsid w:val="008945E0"/>
    <w:rsid w:val="008A35EC"/>
    <w:rsid w:val="008A6159"/>
    <w:rsid w:val="008B5702"/>
    <w:rsid w:val="008C5A5D"/>
    <w:rsid w:val="008E2941"/>
    <w:rsid w:val="008E465A"/>
    <w:rsid w:val="008F1C3F"/>
    <w:rsid w:val="008F2324"/>
    <w:rsid w:val="008F4073"/>
    <w:rsid w:val="00903984"/>
    <w:rsid w:val="0091082D"/>
    <w:rsid w:val="00911CF1"/>
    <w:rsid w:val="0091484E"/>
    <w:rsid w:val="0091718D"/>
    <w:rsid w:val="0093072F"/>
    <w:rsid w:val="009422D6"/>
    <w:rsid w:val="009545A5"/>
    <w:rsid w:val="009655BF"/>
    <w:rsid w:val="00966CB0"/>
    <w:rsid w:val="00987B56"/>
    <w:rsid w:val="009A1002"/>
    <w:rsid w:val="009A1E88"/>
    <w:rsid w:val="009A24E0"/>
    <w:rsid w:val="009B3ACE"/>
    <w:rsid w:val="009C0ED3"/>
    <w:rsid w:val="009C1AD0"/>
    <w:rsid w:val="009D0BC2"/>
    <w:rsid w:val="009D0F8E"/>
    <w:rsid w:val="009F5F93"/>
    <w:rsid w:val="00A13C21"/>
    <w:rsid w:val="00A247D2"/>
    <w:rsid w:val="00A3167D"/>
    <w:rsid w:val="00A327F8"/>
    <w:rsid w:val="00A334FA"/>
    <w:rsid w:val="00A3585C"/>
    <w:rsid w:val="00A36C1D"/>
    <w:rsid w:val="00A37A2C"/>
    <w:rsid w:val="00A54756"/>
    <w:rsid w:val="00A56B52"/>
    <w:rsid w:val="00A84997"/>
    <w:rsid w:val="00A87455"/>
    <w:rsid w:val="00A90A37"/>
    <w:rsid w:val="00A90F34"/>
    <w:rsid w:val="00A9176B"/>
    <w:rsid w:val="00AA0CBD"/>
    <w:rsid w:val="00AA3C25"/>
    <w:rsid w:val="00AA4075"/>
    <w:rsid w:val="00AB199D"/>
    <w:rsid w:val="00AB6095"/>
    <w:rsid w:val="00AF0F78"/>
    <w:rsid w:val="00AF3AF3"/>
    <w:rsid w:val="00B0437F"/>
    <w:rsid w:val="00B054DF"/>
    <w:rsid w:val="00B10EFB"/>
    <w:rsid w:val="00B13041"/>
    <w:rsid w:val="00B31CD3"/>
    <w:rsid w:val="00B756EC"/>
    <w:rsid w:val="00B81DFF"/>
    <w:rsid w:val="00B924FD"/>
    <w:rsid w:val="00BA2F75"/>
    <w:rsid w:val="00BE38DB"/>
    <w:rsid w:val="00BF2C4E"/>
    <w:rsid w:val="00C04B5A"/>
    <w:rsid w:val="00C11963"/>
    <w:rsid w:val="00C30769"/>
    <w:rsid w:val="00C41C37"/>
    <w:rsid w:val="00C41E86"/>
    <w:rsid w:val="00C420A5"/>
    <w:rsid w:val="00C47F87"/>
    <w:rsid w:val="00C53797"/>
    <w:rsid w:val="00C60714"/>
    <w:rsid w:val="00C63900"/>
    <w:rsid w:val="00C71A22"/>
    <w:rsid w:val="00C959DB"/>
    <w:rsid w:val="00CB2624"/>
    <w:rsid w:val="00CB5A9E"/>
    <w:rsid w:val="00CC53C0"/>
    <w:rsid w:val="00CD3B90"/>
    <w:rsid w:val="00CE266B"/>
    <w:rsid w:val="00CE67D4"/>
    <w:rsid w:val="00CF6E3A"/>
    <w:rsid w:val="00D15C49"/>
    <w:rsid w:val="00D4515D"/>
    <w:rsid w:val="00D50C37"/>
    <w:rsid w:val="00D56D8A"/>
    <w:rsid w:val="00D660D9"/>
    <w:rsid w:val="00D70C96"/>
    <w:rsid w:val="00D7150E"/>
    <w:rsid w:val="00D8630E"/>
    <w:rsid w:val="00D86457"/>
    <w:rsid w:val="00DB1D04"/>
    <w:rsid w:val="00DB4844"/>
    <w:rsid w:val="00DC3A7A"/>
    <w:rsid w:val="00DC4C5C"/>
    <w:rsid w:val="00DC5FC3"/>
    <w:rsid w:val="00DD39CE"/>
    <w:rsid w:val="00DD56FE"/>
    <w:rsid w:val="00DE0EC5"/>
    <w:rsid w:val="00DE10A8"/>
    <w:rsid w:val="00DE5928"/>
    <w:rsid w:val="00DE7134"/>
    <w:rsid w:val="00E00921"/>
    <w:rsid w:val="00E01F3F"/>
    <w:rsid w:val="00E21B13"/>
    <w:rsid w:val="00E41228"/>
    <w:rsid w:val="00E45C46"/>
    <w:rsid w:val="00E46A59"/>
    <w:rsid w:val="00E60D13"/>
    <w:rsid w:val="00E64DA6"/>
    <w:rsid w:val="00E704C9"/>
    <w:rsid w:val="00E707E9"/>
    <w:rsid w:val="00E75DB4"/>
    <w:rsid w:val="00E8115D"/>
    <w:rsid w:val="00E913B2"/>
    <w:rsid w:val="00E916D1"/>
    <w:rsid w:val="00EA1BFB"/>
    <w:rsid w:val="00EA269E"/>
    <w:rsid w:val="00EA26C4"/>
    <w:rsid w:val="00EB288D"/>
    <w:rsid w:val="00EC2D78"/>
    <w:rsid w:val="00EC4382"/>
    <w:rsid w:val="00EC7CC0"/>
    <w:rsid w:val="00ED21D0"/>
    <w:rsid w:val="00EE7417"/>
    <w:rsid w:val="00F01A19"/>
    <w:rsid w:val="00F35696"/>
    <w:rsid w:val="00F46D33"/>
    <w:rsid w:val="00F663A2"/>
    <w:rsid w:val="00F71EDE"/>
    <w:rsid w:val="00F7440E"/>
    <w:rsid w:val="00F805B9"/>
    <w:rsid w:val="00F945E7"/>
    <w:rsid w:val="00F95539"/>
    <w:rsid w:val="00F97B64"/>
    <w:rsid w:val="00FA7866"/>
    <w:rsid w:val="00FA7DF0"/>
    <w:rsid w:val="00FB536E"/>
    <w:rsid w:val="00FD3BEC"/>
    <w:rsid w:val="00FE3312"/>
    <w:rsid w:val="00FF4993"/>
    <w:rsid w:val="00FF79FF"/>
    <w:rsid w:val="013C6B15"/>
    <w:rsid w:val="02F23494"/>
    <w:rsid w:val="03263D57"/>
    <w:rsid w:val="03AD58A1"/>
    <w:rsid w:val="03B32123"/>
    <w:rsid w:val="06DE78AF"/>
    <w:rsid w:val="076D1177"/>
    <w:rsid w:val="077706A0"/>
    <w:rsid w:val="078E1ED9"/>
    <w:rsid w:val="07F96CE9"/>
    <w:rsid w:val="08180D44"/>
    <w:rsid w:val="08D03F47"/>
    <w:rsid w:val="09103811"/>
    <w:rsid w:val="09256817"/>
    <w:rsid w:val="09814DE1"/>
    <w:rsid w:val="09F77876"/>
    <w:rsid w:val="0B5D7E49"/>
    <w:rsid w:val="0C6722F1"/>
    <w:rsid w:val="0CA24435"/>
    <w:rsid w:val="0D543B51"/>
    <w:rsid w:val="0D9C49BC"/>
    <w:rsid w:val="0E926D92"/>
    <w:rsid w:val="0FCB3337"/>
    <w:rsid w:val="106D29BA"/>
    <w:rsid w:val="10F71F7E"/>
    <w:rsid w:val="114D1A4D"/>
    <w:rsid w:val="11D465C3"/>
    <w:rsid w:val="124B7379"/>
    <w:rsid w:val="13B83CE0"/>
    <w:rsid w:val="13EF5D02"/>
    <w:rsid w:val="144F5F96"/>
    <w:rsid w:val="149338D5"/>
    <w:rsid w:val="14BD183A"/>
    <w:rsid w:val="162E2510"/>
    <w:rsid w:val="16667E0B"/>
    <w:rsid w:val="1730049E"/>
    <w:rsid w:val="17913D8C"/>
    <w:rsid w:val="185A7BFA"/>
    <w:rsid w:val="18CB3B47"/>
    <w:rsid w:val="18CC5D39"/>
    <w:rsid w:val="199677A3"/>
    <w:rsid w:val="1A667BAA"/>
    <w:rsid w:val="1B7F2EAF"/>
    <w:rsid w:val="1BDB438E"/>
    <w:rsid w:val="1BFF455B"/>
    <w:rsid w:val="1F552F5D"/>
    <w:rsid w:val="20444836"/>
    <w:rsid w:val="204F3A1B"/>
    <w:rsid w:val="2055748C"/>
    <w:rsid w:val="21C55098"/>
    <w:rsid w:val="21EE4441"/>
    <w:rsid w:val="235654CA"/>
    <w:rsid w:val="238A5E4A"/>
    <w:rsid w:val="248D0C80"/>
    <w:rsid w:val="249632D2"/>
    <w:rsid w:val="250D7E56"/>
    <w:rsid w:val="253866ED"/>
    <w:rsid w:val="25405AAC"/>
    <w:rsid w:val="260505FD"/>
    <w:rsid w:val="260C29FB"/>
    <w:rsid w:val="26280AA7"/>
    <w:rsid w:val="27997626"/>
    <w:rsid w:val="2A50319E"/>
    <w:rsid w:val="2ACF5F79"/>
    <w:rsid w:val="2AF07C9E"/>
    <w:rsid w:val="2C327239"/>
    <w:rsid w:val="2CF577ED"/>
    <w:rsid w:val="2D2307FE"/>
    <w:rsid w:val="2DA71154"/>
    <w:rsid w:val="2DD815E9"/>
    <w:rsid w:val="2E083730"/>
    <w:rsid w:val="2EB32D75"/>
    <w:rsid w:val="2FEA7556"/>
    <w:rsid w:val="30071D11"/>
    <w:rsid w:val="3033454F"/>
    <w:rsid w:val="31C679AA"/>
    <w:rsid w:val="32132BEF"/>
    <w:rsid w:val="346E5CA1"/>
    <w:rsid w:val="351A06D0"/>
    <w:rsid w:val="35486F1E"/>
    <w:rsid w:val="3554593D"/>
    <w:rsid w:val="375413F4"/>
    <w:rsid w:val="39BC6A82"/>
    <w:rsid w:val="3A030523"/>
    <w:rsid w:val="3A4B2108"/>
    <w:rsid w:val="3A4F070E"/>
    <w:rsid w:val="3ABF550D"/>
    <w:rsid w:val="3AED72F1"/>
    <w:rsid w:val="3BF91620"/>
    <w:rsid w:val="3CB639DA"/>
    <w:rsid w:val="3D54230E"/>
    <w:rsid w:val="3D6C3806"/>
    <w:rsid w:val="3DF82563"/>
    <w:rsid w:val="3EA825E9"/>
    <w:rsid w:val="3F396820"/>
    <w:rsid w:val="412C27E4"/>
    <w:rsid w:val="41F76024"/>
    <w:rsid w:val="4200179E"/>
    <w:rsid w:val="4259463E"/>
    <w:rsid w:val="42C81B2D"/>
    <w:rsid w:val="42E25B5C"/>
    <w:rsid w:val="43C26E1B"/>
    <w:rsid w:val="441548D8"/>
    <w:rsid w:val="44384737"/>
    <w:rsid w:val="445D5067"/>
    <w:rsid w:val="446C37BD"/>
    <w:rsid w:val="453A628D"/>
    <w:rsid w:val="45E241A9"/>
    <w:rsid w:val="46D67DCB"/>
    <w:rsid w:val="47607B23"/>
    <w:rsid w:val="477610BB"/>
    <w:rsid w:val="48C334FC"/>
    <w:rsid w:val="493A1E08"/>
    <w:rsid w:val="49BD667A"/>
    <w:rsid w:val="4A9800B1"/>
    <w:rsid w:val="4AC20294"/>
    <w:rsid w:val="4CBF4D28"/>
    <w:rsid w:val="4D9B6D18"/>
    <w:rsid w:val="4E8C322B"/>
    <w:rsid w:val="4F3A61EF"/>
    <w:rsid w:val="4F414685"/>
    <w:rsid w:val="4F5817CD"/>
    <w:rsid w:val="4F8F7FDD"/>
    <w:rsid w:val="50CF1CFD"/>
    <w:rsid w:val="529E74FD"/>
    <w:rsid w:val="52AA2CA4"/>
    <w:rsid w:val="53052323"/>
    <w:rsid w:val="5311062D"/>
    <w:rsid w:val="53153078"/>
    <w:rsid w:val="53EC337F"/>
    <w:rsid w:val="552B3E76"/>
    <w:rsid w:val="56434018"/>
    <w:rsid w:val="56AB4C96"/>
    <w:rsid w:val="56E11407"/>
    <w:rsid w:val="57652843"/>
    <w:rsid w:val="57A6702C"/>
    <w:rsid w:val="587D0513"/>
    <w:rsid w:val="59776BC7"/>
    <w:rsid w:val="5A196D0F"/>
    <w:rsid w:val="5A4C2893"/>
    <w:rsid w:val="5AF116BD"/>
    <w:rsid w:val="5BEC71F7"/>
    <w:rsid w:val="5C6F2536"/>
    <w:rsid w:val="5F667CCD"/>
    <w:rsid w:val="5FDC3987"/>
    <w:rsid w:val="600A7AE0"/>
    <w:rsid w:val="60927E54"/>
    <w:rsid w:val="60AD445C"/>
    <w:rsid w:val="6243457B"/>
    <w:rsid w:val="636E5868"/>
    <w:rsid w:val="6411548B"/>
    <w:rsid w:val="64985452"/>
    <w:rsid w:val="64DE058B"/>
    <w:rsid w:val="65FB1E15"/>
    <w:rsid w:val="66911D59"/>
    <w:rsid w:val="66D13C50"/>
    <w:rsid w:val="6713433B"/>
    <w:rsid w:val="67496A03"/>
    <w:rsid w:val="67CB331A"/>
    <w:rsid w:val="67E000EC"/>
    <w:rsid w:val="689F337F"/>
    <w:rsid w:val="690D0977"/>
    <w:rsid w:val="6A0A6F9B"/>
    <w:rsid w:val="6D3B51C8"/>
    <w:rsid w:val="6D8A7502"/>
    <w:rsid w:val="6E561D52"/>
    <w:rsid w:val="6F9D025F"/>
    <w:rsid w:val="6FEF189F"/>
    <w:rsid w:val="7029683D"/>
    <w:rsid w:val="708211D4"/>
    <w:rsid w:val="70B47E63"/>
    <w:rsid w:val="710F2700"/>
    <w:rsid w:val="71271D71"/>
    <w:rsid w:val="71F72C8D"/>
    <w:rsid w:val="721F290F"/>
    <w:rsid w:val="73167928"/>
    <w:rsid w:val="73C96DEF"/>
    <w:rsid w:val="74936C9D"/>
    <w:rsid w:val="75C26BEF"/>
    <w:rsid w:val="777F79AC"/>
    <w:rsid w:val="786E7BCB"/>
    <w:rsid w:val="789B1E6A"/>
    <w:rsid w:val="78ED6C86"/>
    <w:rsid w:val="7A374B1C"/>
    <w:rsid w:val="7A8552D9"/>
    <w:rsid w:val="7B22521E"/>
    <w:rsid w:val="7B2368A0"/>
    <w:rsid w:val="7BC01A25"/>
    <w:rsid w:val="7BD96495"/>
    <w:rsid w:val="7CAC23AA"/>
    <w:rsid w:val="7D4F1BCF"/>
    <w:rsid w:val="7DD77155"/>
    <w:rsid w:val="7E7577B5"/>
    <w:rsid w:val="7F651204"/>
    <w:rsid w:val="7F723B14"/>
    <w:rsid w:val="7F807660"/>
    <w:rsid w:val="7FD55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color w:val="000000"/>
      <w:kern w:val="0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5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9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paragraph" w:styleId="12">
    <w:name w:val="Body Text First Indent 2"/>
    <w:basedOn w:val="6"/>
    <w:autoRedefine/>
    <w:qFormat/>
    <w:uiPriority w:val="0"/>
    <w:pPr>
      <w:spacing w:line="360" w:lineRule="auto"/>
      <w:jc w:val="left"/>
    </w:pPr>
    <w:rPr>
      <w:rFonts w:ascii="宋体" w:hAnsi="宋体" w:cs="宋体"/>
      <w:sz w:val="28"/>
      <w:szCs w:val="28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18">
    <w:name w:val="段"/>
    <w:link w:val="20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正文表标题"/>
    <w:next w:val="18"/>
    <w:autoRedefine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">
    <w:name w:val="段 Char"/>
    <w:basedOn w:val="15"/>
    <w:link w:val="18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1">
    <w:name w:val="批注框文本 字符"/>
    <w:basedOn w:val="15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页脚 字符"/>
    <w:basedOn w:val="15"/>
    <w:link w:val="8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24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5">
    <w:name w:val="font1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附录表标题"/>
    <w:basedOn w:val="1"/>
    <w:next w:val="18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29">
    <w:name w:val="页眉 字符"/>
    <w:basedOn w:val="15"/>
    <w:link w:val="9"/>
    <w:autoRedefine/>
    <w:qFormat/>
    <w:uiPriority w:val="99"/>
    <w:rPr>
      <w:kern w:val="2"/>
      <w:sz w:val="18"/>
      <w:szCs w:val="18"/>
    </w:rPr>
  </w:style>
  <w:style w:type="character" w:customStyle="1" w:styleId="30">
    <w:name w:val="批注文字 字符"/>
    <w:basedOn w:val="15"/>
    <w:link w:val="5"/>
    <w:autoRedefine/>
    <w:semiHidden/>
    <w:qFormat/>
    <w:uiPriority w:val="99"/>
    <w:rPr>
      <w:kern w:val="2"/>
      <w:sz w:val="21"/>
      <w:szCs w:val="24"/>
    </w:rPr>
  </w:style>
  <w:style w:type="character" w:customStyle="1" w:styleId="31">
    <w:name w:val="批注主题 字符"/>
    <w:basedOn w:val="30"/>
    <w:link w:val="11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32">
    <w:name w:val="标准文件_注："/>
    <w:next w:val="33"/>
    <w:autoRedefine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3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标准文件_一级无标题"/>
    <w:basedOn w:val="35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35">
    <w:name w:val="标准文件_一级条标题"/>
    <w:basedOn w:val="36"/>
    <w:next w:val="33"/>
    <w:autoRedefine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36">
    <w:name w:val="标准文件_章标题"/>
    <w:next w:val="33"/>
    <w:autoRedefine/>
    <w:qFormat/>
    <w:uiPriority w:val="0"/>
    <w:pPr>
      <w:numPr>
        <w:ilvl w:val="1"/>
        <w:numId w:val="3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标准文件_二级无标题"/>
    <w:basedOn w:val="38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38">
    <w:name w:val="标准文件_二级条标题"/>
    <w:next w:val="33"/>
    <w:autoRedefine/>
    <w:qFormat/>
    <w:uiPriority w:val="0"/>
    <w:pPr>
      <w:widowControl w:val="0"/>
      <w:numPr>
        <w:ilvl w:val="3"/>
        <w:numId w:val="3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9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3186</Words>
  <Characters>3289</Characters>
  <Lines>21</Lines>
  <Paragraphs>5</Paragraphs>
  <TotalTime>26</TotalTime>
  <ScaleCrop>false</ScaleCrop>
  <LinksUpToDate>false</LinksUpToDate>
  <CharactersWithSpaces>3301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2021-11-20T02:49:00Z</dcterms:created>
  <dc:creator>王飞</dc:creator>
  <cp:lastModifiedBy>夏末</cp:lastModifiedBy>
  <dcterms:modified xsi:type="dcterms:W3CDTF">2024-10-22T03:53:16Z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DCC0FB1315BD448AAA7E7E4379D31C7F_13</vt:lpwstr>
  </property>
</Properties>
</file>