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7" w:line="226" w:lineRule="auto"/>
        <w:jc w:val="center"/>
        <w:outlineLvl w:val="0"/>
        <w:rPr>
          <w:rFonts w:hint="eastAsia" w:ascii="Times New Roman" w:hAnsi="宋体" w:eastAsia="宋体"/>
          <w:sz w:val="24"/>
          <w:szCs w:val="24"/>
          <w:highlight w:val="yellow"/>
        </w:rPr>
      </w:pPr>
      <w:r>
        <w:rPr>
          <w:rFonts w:hint="eastAsia" w:ascii="方正小标宋简体" w:hAnsi="宋体" w:eastAsia="方正小标宋简体" w:cs="Times New Roman"/>
          <w:bCs/>
          <w:sz w:val="44"/>
          <w:szCs w:val="44"/>
        </w:rPr>
        <w:t>202</w:t>
      </w:r>
      <w:r>
        <w:rPr>
          <w:rFonts w:hint="eastAsia" w:ascii="方正小标宋简体" w:hAnsi="宋体" w:eastAsia="方正小标宋简体" w:cs="Times New Roman"/>
          <w:bCs/>
          <w:sz w:val="44"/>
          <w:szCs w:val="44"/>
          <w:lang w:val="en-US" w:eastAsia="zh-CN"/>
        </w:rPr>
        <w:t>3</w:t>
      </w:r>
      <w:r>
        <w:rPr>
          <w:rFonts w:hint="eastAsia" w:ascii="方正小标宋简体" w:hAnsi="宋体" w:eastAsia="方正小标宋简体" w:cs="Times New Roman"/>
          <w:bCs/>
          <w:sz w:val="44"/>
          <w:szCs w:val="44"/>
        </w:rPr>
        <w:t>年</w:t>
      </w:r>
      <w:r>
        <w:rPr>
          <w:rFonts w:hint="eastAsia" w:ascii="方正小标宋简体" w:hAnsi="宋体" w:eastAsia="方正小标宋简体" w:cs="Times New Roman"/>
          <w:bCs/>
          <w:sz w:val="44"/>
          <w:szCs w:val="44"/>
          <w:lang w:val="en-US" w:eastAsia="zh-CN"/>
        </w:rPr>
        <w:t>淮北</w:t>
      </w:r>
      <w:r>
        <w:rPr>
          <w:rFonts w:hint="eastAsia" w:ascii="方正小标宋简体" w:hAnsi="宋体" w:eastAsia="方正小标宋简体" w:cs="Times New Roman"/>
          <w:bCs/>
          <w:sz w:val="44"/>
          <w:szCs w:val="44"/>
          <w:lang w:eastAsia="zh-CN"/>
        </w:rPr>
        <w:t>市</w:t>
      </w:r>
      <w:r>
        <w:rPr>
          <w:rFonts w:hint="eastAsia" w:ascii="方正小标宋简体" w:hAnsi="宋体" w:eastAsia="方正小标宋简体" w:cs="Times New Roman"/>
          <w:bCs/>
          <w:sz w:val="44"/>
          <w:szCs w:val="44"/>
        </w:rPr>
        <w:t>市场监</w:t>
      </w:r>
      <w:r>
        <w:rPr>
          <w:rFonts w:hint="eastAsia" w:ascii="方正小标宋简体" w:hAnsi="宋体" w:eastAsia="方正小标宋简体" w:cs="Times New Roman"/>
          <w:bCs/>
          <w:sz w:val="44"/>
          <w:szCs w:val="44"/>
          <w:lang w:val="en-US" w:eastAsia="zh-CN"/>
        </w:rPr>
        <w:t>督</w:t>
      </w:r>
      <w:r>
        <w:rPr>
          <w:rFonts w:hint="eastAsia" w:ascii="方正小标宋简体" w:hAnsi="宋体" w:eastAsia="方正小标宋简体" w:cs="Times New Roman"/>
          <w:bCs/>
          <w:sz w:val="44"/>
          <w:szCs w:val="44"/>
          <w:lang w:eastAsia="zh-CN"/>
        </w:rPr>
        <w:t>管理</w:t>
      </w:r>
      <w:r>
        <w:rPr>
          <w:rFonts w:hint="eastAsia" w:ascii="方正小标宋简体" w:hAnsi="宋体" w:eastAsia="方正小标宋简体" w:cs="Times New Roman"/>
          <w:bCs/>
          <w:sz w:val="44"/>
          <w:szCs w:val="44"/>
        </w:rPr>
        <w:t>局</w:t>
      </w:r>
      <w:r>
        <w:rPr>
          <w:rFonts w:hint="eastAsia" w:ascii="方正小标宋简体" w:hAnsi="宋体" w:eastAsia="方正小标宋简体" w:cs="Times New Roman"/>
          <w:bCs/>
          <w:sz w:val="44"/>
          <w:szCs w:val="44"/>
          <w:lang w:eastAsia="zh-CN"/>
        </w:rPr>
        <w:t>玩具、家用电器、学生用品等</w:t>
      </w:r>
      <w:r>
        <w:rPr>
          <w:rFonts w:hint="eastAsia" w:ascii="方正小标宋简体" w:hAnsi="宋体" w:eastAsia="方正小标宋简体" w:cs="Times New Roman"/>
          <w:bCs/>
          <w:sz w:val="44"/>
          <w:szCs w:val="44"/>
        </w:rPr>
        <w:t>产品质量监督抽查分析</w:t>
      </w:r>
    </w:p>
    <w:p>
      <w:pPr>
        <w:spacing w:before="101" w:line="417" w:lineRule="auto"/>
        <w:ind w:left="125" w:right="115" w:firstLine="658"/>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bidi="ar-SA"/>
        </w:rPr>
        <w:t>淮北市市场监督管理局委托山东精准产品质量检测有限公司于2023年对淮北市的玩具、家用电器、食品接触用产品、信息技术设备、鞋类产品、卫生用品、毛巾、学生用品、湿巾、旅行箱包等产品质量进行监督抽查检验，现就本次监督抽检工作情况分析如下：</w:t>
      </w:r>
    </w:p>
    <w:p>
      <w:pPr>
        <w:keepNext w:val="0"/>
        <w:keepLines w:val="0"/>
        <w:pageBreakBefore w:val="0"/>
        <w:numPr>
          <w:ilvl w:val="0"/>
          <w:numId w:val="0"/>
        </w:numPr>
        <w:kinsoku/>
        <w:wordWrap/>
        <w:overflowPunct/>
        <w:topLinePunct w:val="0"/>
        <w:bidi w:val="0"/>
        <w:spacing w:line="594" w:lineRule="exact"/>
        <w:jc w:val="both"/>
        <w:outlineLvl w:val="0"/>
        <w:rPr>
          <w:rFonts w:hint="eastAsia"/>
        </w:rPr>
      </w:pPr>
      <w:bookmarkStart w:id="0" w:name="_Toc31522"/>
      <w:bookmarkStart w:id="5" w:name="_GoBack"/>
      <w:bookmarkEnd w:id="5"/>
      <w:r>
        <w:rPr>
          <w:rFonts w:hint="eastAsia" w:ascii="黑体" w:hAnsi="宋体" w:eastAsia="黑体"/>
          <w:sz w:val="32"/>
          <w:szCs w:val="32"/>
          <w:lang w:eastAsia="zh-CN"/>
        </w:rPr>
        <w:t>一、</w:t>
      </w:r>
      <w:r>
        <w:rPr>
          <w:rFonts w:hint="eastAsia" w:ascii="黑体" w:hAnsi="宋体" w:eastAsia="黑体"/>
          <w:sz w:val="32"/>
          <w:szCs w:val="32"/>
        </w:rPr>
        <w:t>抽</w:t>
      </w:r>
      <w:r>
        <w:rPr>
          <w:rFonts w:hint="eastAsia" w:ascii="黑体" w:hAnsi="宋体" w:eastAsia="黑体"/>
          <w:sz w:val="32"/>
          <w:szCs w:val="32"/>
          <w:lang w:eastAsia="zh-CN"/>
        </w:rPr>
        <w:t>检基本</w:t>
      </w:r>
      <w:r>
        <w:rPr>
          <w:rFonts w:hint="eastAsia" w:ascii="黑体" w:hAnsi="宋体" w:eastAsia="黑体"/>
          <w:sz w:val="32"/>
          <w:szCs w:val="32"/>
        </w:rPr>
        <w:t>概况</w:t>
      </w:r>
      <w:bookmarkEnd w:id="0"/>
    </w:p>
    <w:p>
      <w:pPr>
        <w:pStyle w:val="6"/>
        <w:keepNext w:val="0"/>
        <w:keepLines w:val="0"/>
        <w:pageBreakBefore w:val="0"/>
        <w:widowControl w:val="0"/>
        <w:kinsoku/>
        <w:wordWrap/>
        <w:overflowPunct/>
        <w:topLinePunct w:val="0"/>
        <w:bidi w:val="0"/>
        <w:snapToGrid/>
        <w:spacing w:line="594" w:lineRule="exact"/>
        <w:ind w:firstLine="480"/>
        <w:rPr>
          <w:rFonts w:hint="default"/>
          <w:sz w:val="32"/>
          <w:szCs w:val="32"/>
          <w:lang w:val="en-US"/>
        </w:rPr>
      </w:pPr>
      <w:r>
        <w:rPr>
          <w:rFonts w:hint="eastAsia" w:ascii="仿宋_GB2312" w:hAnsi="仿宋_GB2312" w:eastAsia="仿宋_GB2312" w:cs="仿宋_GB2312"/>
          <w:sz w:val="32"/>
          <w:szCs w:val="32"/>
          <w:highlight w:val="none"/>
        </w:rPr>
        <w:t>本次抽样领域为</w:t>
      </w:r>
      <w:r>
        <w:rPr>
          <w:rFonts w:hint="eastAsia" w:ascii="仿宋_GB2312" w:hAnsi="仿宋_GB2312" w:eastAsia="仿宋_GB2312" w:cs="仿宋_GB2312"/>
          <w:sz w:val="32"/>
          <w:szCs w:val="32"/>
          <w:highlight w:val="none"/>
          <w:lang w:eastAsia="zh-CN"/>
        </w:rPr>
        <w:t>流通</w:t>
      </w:r>
      <w:r>
        <w:rPr>
          <w:rFonts w:hint="eastAsia" w:ascii="仿宋_GB2312" w:hAnsi="仿宋_GB2312" w:eastAsia="仿宋_GB2312" w:cs="仿宋_GB2312"/>
          <w:sz w:val="32"/>
          <w:szCs w:val="32"/>
          <w:highlight w:val="none"/>
        </w:rPr>
        <w:t>领域，样品获取方式为检验样品付费购买和备用样品由受检单位先行无偿提供，抽样及检验机构名称为山东精准产品质量检测有限公司，抽查时间为</w:t>
      </w:r>
      <w:r>
        <w:rPr>
          <w:rFonts w:hint="eastAsia" w:hAnsi="仿宋_GB2312" w:cs="仿宋_GB2312"/>
          <w:sz w:val="32"/>
          <w:szCs w:val="32"/>
          <w:highlight w:val="none"/>
          <w:lang w:eastAsia="zh-CN"/>
        </w:rPr>
        <w:t>2023</w:t>
      </w:r>
      <w:r>
        <w:rPr>
          <w:rFonts w:hint="eastAsia" w:ascii="仿宋_GB2312" w:hAnsi="仿宋_GB2312" w:eastAsia="仿宋_GB2312" w:cs="仿宋_GB2312"/>
          <w:sz w:val="32"/>
          <w:szCs w:val="32"/>
          <w:highlight w:val="none"/>
        </w:rPr>
        <w:t>年</w:t>
      </w:r>
      <w:r>
        <w:rPr>
          <w:rFonts w:hint="eastAsia"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月至</w:t>
      </w:r>
      <w:r>
        <w:rPr>
          <w:rFonts w:hint="eastAsia"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月。抽查了</w:t>
      </w:r>
      <w:r>
        <w:rPr>
          <w:rFonts w:hint="eastAsia" w:hAnsi="仿宋_GB2312" w:cs="仿宋_GB2312"/>
          <w:sz w:val="32"/>
          <w:szCs w:val="32"/>
          <w:highlight w:val="none"/>
          <w:lang w:val="en-US" w:eastAsia="zh-CN"/>
        </w:rPr>
        <w:t>杜集区</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相山区</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烈山区</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濉溪县</w:t>
      </w:r>
      <w:r>
        <w:rPr>
          <w:rFonts w:hint="eastAsia" w:ascii="仿宋_GB2312" w:hAnsi="仿宋_GB2312" w:eastAsia="仿宋_GB2312" w:cs="仿宋_GB2312"/>
          <w:sz w:val="32"/>
          <w:szCs w:val="32"/>
          <w:highlight w:val="none"/>
        </w:rPr>
        <w:t>等</w:t>
      </w:r>
      <w:r>
        <w:rPr>
          <w:rFonts w:hint="eastAsia"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个地区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抽查产品共计</w:t>
      </w:r>
      <w:r>
        <w:rPr>
          <w:rFonts w:hint="eastAsia"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批次，其中合格</w:t>
      </w:r>
      <w:r>
        <w:rPr>
          <w:rFonts w:hint="eastAsia" w:hAnsi="仿宋_GB2312" w:cs="仿宋_GB2312"/>
          <w:sz w:val="32"/>
          <w:szCs w:val="32"/>
          <w:highlight w:val="none"/>
          <w:lang w:val="en-US" w:eastAsia="zh-CN"/>
        </w:rPr>
        <w:t>89</w:t>
      </w:r>
      <w:r>
        <w:rPr>
          <w:rFonts w:hint="eastAsia" w:ascii="仿宋_GB2312" w:hAnsi="仿宋_GB2312" w:eastAsia="仿宋_GB2312" w:cs="仿宋_GB2312"/>
          <w:sz w:val="32"/>
          <w:szCs w:val="32"/>
          <w:highlight w:val="none"/>
          <w:lang w:val="en-US" w:eastAsia="zh-CN"/>
        </w:rPr>
        <w:t>批次，不合格</w:t>
      </w:r>
      <w:r>
        <w:rPr>
          <w:rFonts w:hint="eastAsia" w:hAnsi="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val="en-US" w:eastAsia="zh-CN"/>
        </w:rPr>
        <w:t>批次，批次不合格发现率</w:t>
      </w:r>
      <w:r>
        <w:rPr>
          <w:rFonts w:hint="eastAsia" w:hAnsi="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val="en-US" w:eastAsia="zh-CN"/>
        </w:rPr>
        <w:t>%</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涉及的不合格项目为</w:t>
      </w:r>
      <w:r>
        <w:rPr>
          <w:rFonts w:hint="eastAsia" w:hAnsi="仿宋_GB2312" w:cs="仿宋_GB2312"/>
          <w:color w:val="000000"/>
          <w:spacing w:val="4"/>
          <w:sz w:val="32"/>
          <w:szCs w:val="32"/>
          <w:highlight w:val="none"/>
          <w:lang w:val="en-US" w:eastAsia="zh-CN"/>
        </w:rPr>
        <w:t>家用电器</w:t>
      </w:r>
      <w:r>
        <w:rPr>
          <w:rFonts w:hint="eastAsia" w:ascii="仿宋_GB2312" w:hAnsi="仿宋_GB2312" w:eastAsia="仿宋_GB2312" w:cs="仿宋_GB2312"/>
          <w:color w:val="000000"/>
          <w:spacing w:val="4"/>
          <w:sz w:val="32"/>
          <w:szCs w:val="32"/>
          <w:highlight w:val="none"/>
          <w:lang w:eastAsia="zh-CN"/>
        </w:rPr>
        <w:t>产品中结构</w:t>
      </w:r>
      <w:r>
        <w:rPr>
          <w:rFonts w:hint="eastAsia" w:hAnsi="仿宋_GB2312" w:cs="仿宋_GB2312"/>
          <w:color w:val="000000"/>
          <w:spacing w:val="4"/>
          <w:sz w:val="32"/>
          <w:szCs w:val="32"/>
          <w:highlight w:val="none"/>
          <w:lang w:eastAsia="zh-CN"/>
        </w:rPr>
        <w:t>、</w:t>
      </w:r>
      <w:r>
        <w:rPr>
          <w:rFonts w:hint="eastAsia" w:ascii="仿宋_GB2312" w:hAnsi="仿宋_GB2312" w:eastAsia="仿宋_GB2312" w:cs="仿宋_GB2312"/>
          <w:color w:val="000000"/>
          <w:spacing w:val="4"/>
          <w:sz w:val="32"/>
          <w:szCs w:val="32"/>
          <w:highlight w:val="none"/>
          <w:lang w:eastAsia="zh-CN"/>
        </w:rPr>
        <w:t>输入功率和电流</w:t>
      </w:r>
      <w:r>
        <w:rPr>
          <w:rFonts w:hint="eastAsia" w:hAnsi="仿宋_GB2312" w:cs="仿宋_GB2312"/>
          <w:color w:val="000000"/>
          <w:spacing w:val="4"/>
          <w:sz w:val="32"/>
          <w:szCs w:val="32"/>
          <w:highlight w:val="none"/>
          <w:lang w:eastAsia="zh-CN"/>
        </w:rPr>
        <w:t>、</w:t>
      </w:r>
      <w:r>
        <w:rPr>
          <w:rFonts w:hint="eastAsia" w:hAnsi="仿宋_GB2312" w:cs="仿宋_GB2312"/>
          <w:color w:val="000000"/>
          <w:spacing w:val="4"/>
          <w:sz w:val="32"/>
          <w:szCs w:val="32"/>
          <w:highlight w:val="none"/>
          <w:lang w:val="en-US" w:eastAsia="zh-CN"/>
        </w:rPr>
        <w:t>稳定性和机械危险、机械强度、电源连接和外部软线</w:t>
      </w:r>
      <w:r>
        <w:rPr>
          <w:rFonts w:hint="eastAsia" w:hAnsi="仿宋_GB2312" w:cs="仿宋_GB2312"/>
          <w:color w:val="000000"/>
          <w:spacing w:val="4"/>
          <w:sz w:val="32"/>
          <w:szCs w:val="32"/>
          <w:highlight w:val="none"/>
          <w:lang w:eastAsia="zh-CN"/>
        </w:rPr>
        <w:t>；信息技术设备产品中抗电强度、发热要求（耐异常热）；</w:t>
      </w:r>
      <w:r>
        <w:rPr>
          <w:rFonts w:hint="eastAsia" w:ascii="仿宋_GB2312" w:hAnsi="仿宋_GB2312" w:eastAsia="仿宋_GB2312" w:cs="仿宋_GB2312"/>
          <w:color w:val="000000"/>
          <w:sz w:val="32"/>
          <w:szCs w:val="32"/>
          <w:highlight w:val="none"/>
          <w:lang w:val="en-US" w:eastAsia="zh-CN" w:bidi="ar-SA"/>
        </w:rPr>
        <w:t>旅行箱包</w:t>
      </w:r>
      <w:r>
        <w:rPr>
          <w:rFonts w:hint="eastAsia" w:hAnsi="仿宋_GB2312" w:cs="仿宋_GB2312"/>
          <w:color w:val="000000"/>
          <w:spacing w:val="4"/>
          <w:sz w:val="32"/>
          <w:szCs w:val="32"/>
          <w:highlight w:val="none"/>
          <w:lang w:val="en-US" w:eastAsia="zh-CN"/>
        </w:rPr>
        <w:t>产品中振荡冲击性能；拖鞋产品中标识。</w:t>
      </w:r>
    </w:p>
    <w:p>
      <w:pPr>
        <w:keepNext w:val="0"/>
        <w:keepLines w:val="0"/>
        <w:pageBreakBefore w:val="0"/>
        <w:kinsoku/>
        <w:wordWrap/>
        <w:overflowPunct/>
        <w:topLinePunct w:val="0"/>
        <w:bidi w:val="0"/>
        <w:spacing w:line="594" w:lineRule="exact"/>
        <w:jc w:val="both"/>
        <w:outlineLvl w:val="0"/>
        <w:rPr>
          <w:rFonts w:hint="eastAsia" w:ascii="楷体_GB2312" w:hAnsi="楷体_GB2312" w:eastAsia="楷体_GB2312" w:cs="楷体_GB2312"/>
          <w:sz w:val="32"/>
          <w:szCs w:val="32"/>
        </w:rPr>
      </w:pPr>
      <w:bookmarkStart w:id="1" w:name="_Toc30215"/>
      <w:r>
        <w:rPr>
          <w:rFonts w:hint="eastAsia" w:ascii="黑体" w:hAnsi="宋体" w:eastAsia="黑体"/>
          <w:sz w:val="32"/>
          <w:szCs w:val="32"/>
          <w:lang w:eastAsia="zh-CN"/>
        </w:rPr>
        <w:t>二</w:t>
      </w:r>
      <w:r>
        <w:rPr>
          <w:rFonts w:hint="eastAsia" w:ascii="黑体" w:hAnsi="宋体" w:eastAsia="黑体"/>
          <w:sz w:val="32"/>
          <w:szCs w:val="32"/>
        </w:rPr>
        <w:t>、抽查结果的综合分析</w:t>
      </w:r>
      <w:bookmarkEnd w:id="1"/>
    </w:p>
    <w:p>
      <w:pPr>
        <w:pStyle w:val="6"/>
        <w:keepNext w:val="0"/>
        <w:keepLines w:val="0"/>
        <w:pageBreakBefore w:val="0"/>
        <w:widowControl w:val="0"/>
        <w:kinsoku/>
        <w:wordWrap/>
        <w:overflowPunct/>
        <w:topLinePunct w:val="0"/>
        <w:bidi w:val="0"/>
        <w:snapToGrid/>
        <w:spacing w:line="594" w:lineRule="exact"/>
        <w:rPr>
          <w:rFonts w:hint="eastAsia" w:ascii="楷体_GB2312" w:hAnsi="楷体_GB2312" w:eastAsia="楷体_GB2312" w:cs="楷体_GB2312"/>
          <w:sz w:val="32"/>
          <w:szCs w:val="32"/>
        </w:rPr>
      </w:pPr>
      <w:r>
        <w:rPr>
          <w:rFonts w:hint="eastAsia" w:hAnsi="仿宋_GB2312" w:cs="仿宋_GB2312"/>
          <w:sz w:val="32"/>
          <w:szCs w:val="32"/>
          <w:lang w:eastAsia="zh-CN"/>
        </w:rPr>
        <w:t>（一）</w:t>
      </w:r>
      <w:r>
        <w:rPr>
          <w:rFonts w:hint="eastAsia" w:ascii="楷体_GB2312" w:hAnsi="楷体_GB2312" w:eastAsia="楷体_GB2312" w:cs="楷体_GB2312"/>
          <w:sz w:val="32"/>
          <w:szCs w:val="32"/>
        </w:rPr>
        <w:t>按抽查领域统计企业和产品不合格率</w:t>
      </w:r>
    </w:p>
    <w:p>
      <w:pPr>
        <w:pStyle w:val="6"/>
        <w:keepNext w:val="0"/>
        <w:keepLines w:val="0"/>
        <w:pageBreakBefore w:val="0"/>
        <w:widowControl w:val="0"/>
        <w:kinsoku/>
        <w:wordWrap/>
        <w:overflowPunct/>
        <w:topLinePunct w:val="0"/>
        <w:bidi w:val="0"/>
        <w:snapToGrid/>
        <w:spacing w:line="594" w:lineRule="exact"/>
        <w:ind w:firstLine="480"/>
        <w:rPr>
          <w:rFonts w:hint="eastAsia" w:ascii="黑体" w:hAnsi="黑体" w:eastAsia="黑体"/>
          <w:color w:val="auto"/>
          <w:sz w:val="32"/>
          <w:szCs w:val="32"/>
        </w:rPr>
      </w:pPr>
      <w:r>
        <w:rPr>
          <w:rFonts w:hint="eastAsia" w:ascii="仿宋_GB2312" w:hAnsi="仿宋_GB2312" w:eastAsia="仿宋_GB2312" w:cs="仿宋_GB2312"/>
          <w:sz w:val="32"/>
          <w:szCs w:val="32"/>
        </w:rPr>
        <w:t>本次</w:t>
      </w:r>
      <w:r>
        <w:rPr>
          <w:rFonts w:hint="eastAsia" w:hAnsi="仿宋_GB2312" w:cs="仿宋_GB2312"/>
          <w:sz w:val="32"/>
          <w:szCs w:val="32"/>
          <w:lang w:eastAsia="zh-CN"/>
        </w:rPr>
        <w:t>共</w:t>
      </w:r>
      <w:r>
        <w:rPr>
          <w:rFonts w:hint="eastAsia" w:ascii="仿宋_GB2312" w:hAnsi="仿宋_GB2312" w:eastAsia="仿宋_GB2312" w:cs="仿宋_GB2312"/>
          <w:sz w:val="32"/>
          <w:szCs w:val="32"/>
        </w:rPr>
        <w:t>抽检1</w:t>
      </w:r>
      <w:r>
        <w:rPr>
          <w:rFonts w:hint="eastAsia" w:hAnsi="仿宋_GB2312" w:cs="仿宋_GB2312"/>
          <w:sz w:val="32"/>
          <w:szCs w:val="32"/>
          <w:lang w:val="en-US" w:eastAsia="zh-CN"/>
        </w:rPr>
        <w:t>00</w:t>
      </w:r>
      <w:r>
        <w:rPr>
          <w:rFonts w:hint="eastAsia" w:ascii="仿宋_GB2312" w:hAnsi="仿宋_GB2312" w:eastAsia="仿宋_GB2312" w:cs="仿宋_GB2312"/>
          <w:sz w:val="32"/>
          <w:szCs w:val="32"/>
        </w:rPr>
        <w:t>批次产品，</w:t>
      </w:r>
      <w:r>
        <w:rPr>
          <w:rFonts w:hint="eastAsia" w:hAnsi="仿宋_GB2312" w:cs="仿宋_GB2312"/>
          <w:sz w:val="32"/>
          <w:szCs w:val="32"/>
          <w:lang w:val="en-US" w:eastAsia="zh-CN"/>
        </w:rPr>
        <w:t>为</w:t>
      </w:r>
      <w:r>
        <w:rPr>
          <w:rFonts w:hint="eastAsia" w:ascii="仿宋_GB2312" w:hAnsi="仿宋_GB2312" w:eastAsia="仿宋_GB2312" w:cs="仿宋_GB2312"/>
          <w:sz w:val="32"/>
          <w:szCs w:val="32"/>
        </w:rPr>
        <w:t>流通领域</w:t>
      </w:r>
      <w:r>
        <w:rPr>
          <w:rFonts w:hint="eastAsia" w:hAnsi="仿宋_GB2312" w:cs="仿宋_GB2312"/>
          <w:sz w:val="32"/>
          <w:szCs w:val="32"/>
          <w:lang w:val="en-US" w:eastAsia="zh-CN"/>
        </w:rPr>
        <w:t>27家销售单位销售的</w:t>
      </w:r>
      <w:r>
        <w:rPr>
          <w:rFonts w:hint="eastAsia" w:ascii="仿宋_GB2312" w:hAnsi="仿宋_GB2312" w:eastAsia="仿宋_GB2312" w:cs="仿宋_GB2312"/>
          <w:sz w:val="32"/>
          <w:szCs w:val="32"/>
        </w:rPr>
        <w:t>1</w:t>
      </w:r>
      <w:r>
        <w:rPr>
          <w:rFonts w:hint="eastAsia" w:hAnsi="仿宋_GB2312" w:cs="仿宋_GB2312"/>
          <w:sz w:val="32"/>
          <w:szCs w:val="32"/>
          <w:lang w:val="en-US" w:eastAsia="zh-CN"/>
        </w:rPr>
        <w:t>00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不同</w:t>
      </w:r>
      <w:r>
        <w:rPr>
          <w:rFonts w:hint="eastAsia" w:ascii="仿宋_GB2312" w:hAnsi="仿宋_GB2312" w:eastAsia="仿宋_GB2312" w:cs="仿宋_GB2312"/>
          <w:sz w:val="32"/>
          <w:szCs w:val="32"/>
        </w:rPr>
        <w:t>抽查领域如下</w:t>
      </w:r>
      <w:r>
        <w:rPr>
          <w:rFonts w:hint="eastAsia" w:ascii="仿宋_GB2312" w:hAnsi="仿宋_GB2312" w:eastAsia="仿宋_GB2312" w:cs="仿宋_GB2312"/>
          <w:sz w:val="32"/>
          <w:szCs w:val="32"/>
          <w:lang w:eastAsia="zh-CN"/>
        </w:rPr>
        <w:t>（表</w:t>
      </w:r>
      <w:r>
        <w:rPr>
          <w:rFonts w:hint="eastAsia" w:hAnsi="仿宋_GB2312" w:cs="仿宋_GB2312"/>
          <w:sz w:val="32"/>
          <w:szCs w:val="32"/>
          <w:lang w:val="en-US" w:eastAsia="zh-CN"/>
        </w:rPr>
        <w:t>1</w:t>
      </w:r>
      <w:r>
        <w:rPr>
          <w:rFonts w:hint="eastAsia" w:ascii="仿宋_GB2312" w:hAnsi="仿宋_GB2312" w:eastAsia="仿宋_GB2312" w:cs="仿宋_GB2312"/>
          <w:sz w:val="32"/>
          <w:szCs w:val="32"/>
          <w:lang w:val="en-US" w:eastAsia="zh-CN"/>
        </w:rPr>
        <w:t>、图</w:t>
      </w:r>
      <w:r>
        <w:rPr>
          <w:rFonts w:hint="eastAsia" w:hAnsi="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10"/>
        <w:keepNext w:val="0"/>
        <w:keepLines w:val="0"/>
        <w:pageBreakBefore w:val="0"/>
        <w:kinsoku/>
        <w:wordWrap/>
        <w:overflowPunct/>
        <w:topLinePunct w:val="0"/>
        <w:autoSpaceDE/>
        <w:autoSpaceDN/>
        <w:bidi w:val="0"/>
        <w:adjustRightInd/>
        <w:snapToGrid/>
        <w:spacing w:line="594" w:lineRule="exact"/>
        <w:ind w:firstLineChars="210"/>
        <w:jc w:val="center"/>
        <w:rPr>
          <w:rFonts w:hint="eastAsia" w:ascii="黑体" w:hAnsi="黑体" w:eastAsia="黑体"/>
          <w:color w:val="auto"/>
          <w:sz w:val="20"/>
          <w:szCs w:val="20"/>
          <w:lang w:eastAsia="zh-CN"/>
        </w:rPr>
      </w:pPr>
      <w:r>
        <w:rPr>
          <w:rFonts w:hint="eastAsia" w:ascii="黑体" w:hAnsi="黑体" w:eastAsia="黑体"/>
          <w:color w:val="auto"/>
          <w:sz w:val="20"/>
          <w:szCs w:val="20"/>
        </w:rPr>
        <w:t>表</w:t>
      </w:r>
      <w:r>
        <w:rPr>
          <w:rFonts w:hint="eastAsia" w:ascii="黑体" w:hAnsi="黑体" w:eastAsia="黑体"/>
          <w:color w:val="auto"/>
          <w:sz w:val="20"/>
          <w:szCs w:val="20"/>
          <w:lang w:val="en-US" w:eastAsia="zh-CN"/>
        </w:rPr>
        <w:t>1 不同</w:t>
      </w:r>
      <w:r>
        <w:rPr>
          <w:rFonts w:hint="eastAsia" w:ascii="黑体" w:hAnsi="黑体" w:eastAsia="黑体"/>
          <w:color w:val="auto"/>
          <w:sz w:val="20"/>
          <w:szCs w:val="20"/>
        </w:rPr>
        <w:t>抽查领域</w:t>
      </w:r>
      <w:r>
        <w:rPr>
          <w:rFonts w:ascii="黑体" w:hAnsi="黑体" w:eastAsia="黑体" w:cs="黑体"/>
          <w:color w:val="auto"/>
          <w:spacing w:val="-4"/>
          <w:sz w:val="20"/>
          <w:szCs w:val="20"/>
        </w:rPr>
        <w:t>类抽检情况</w:t>
      </w:r>
    </w:p>
    <w:tbl>
      <w:tblPr>
        <w:tblStyle w:val="8"/>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770"/>
        <w:gridCol w:w="1995"/>
        <w:gridCol w:w="1980"/>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5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抽查领域</w:t>
            </w:r>
          </w:p>
        </w:tc>
        <w:tc>
          <w:tcPr>
            <w:tcW w:w="17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抽查企业数</w:t>
            </w:r>
          </w:p>
        </w:tc>
        <w:tc>
          <w:tcPr>
            <w:tcW w:w="19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抽查批次数</w:t>
            </w:r>
          </w:p>
        </w:tc>
        <w:tc>
          <w:tcPr>
            <w:tcW w:w="19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不合格批次数</w:t>
            </w:r>
          </w:p>
        </w:tc>
        <w:tc>
          <w:tcPr>
            <w:tcW w:w="21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不合格发现率%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生产领域</w:t>
            </w:r>
          </w:p>
        </w:tc>
        <w:tc>
          <w:tcPr>
            <w:tcW w:w="17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0</w:t>
            </w:r>
          </w:p>
        </w:tc>
        <w:tc>
          <w:tcPr>
            <w:tcW w:w="199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0</w:t>
            </w:r>
          </w:p>
        </w:tc>
        <w:tc>
          <w:tcPr>
            <w:tcW w:w="19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0</w:t>
            </w:r>
          </w:p>
        </w:tc>
        <w:tc>
          <w:tcPr>
            <w:tcW w:w="21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流通领域</w:t>
            </w:r>
          </w:p>
        </w:tc>
        <w:tc>
          <w:tcPr>
            <w:tcW w:w="17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27</w:t>
            </w:r>
          </w:p>
        </w:tc>
        <w:tc>
          <w:tcPr>
            <w:tcW w:w="199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100</w:t>
            </w:r>
          </w:p>
        </w:tc>
        <w:tc>
          <w:tcPr>
            <w:tcW w:w="19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11</w:t>
            </w:r>
          </w:p>
        </w:tc>
        <w:tc>
          <w:tcPr>
            <w:tcW w:w="214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合计</w:t>
            </w:r>
          </w:p>
        </w:tc>
        <w:tc>
          <w:tcPr>
            <w:tcW w:w="17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27</w:t>
            </w:r>
          </w:p>
        </w:tc>
        <w:tc>
          <w:tcPr>
            <w:tcW w:w="199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100</w:t>
            </w:r>
          </w:p>
        </w:tc>
        <w:tc>
          <w:tcPr>
            <w:tcW w:w="19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11</w:t>
            </w:r>
          </w:p>
        </w:tc>
        <w:tc>
          <w:tcPr>
            <w:tcW w:w="21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default" w:ascii="宋体" w:hAnsi="宋体" w:eastAsia="宋体" w:cs="宋体"/>
                <w:i w:val="0"/>
                <w:iCs w:val="0"/>
                <w:color w:val="000000"/>
                <w:sz w:val="18"/>
                <w:szCs w:val="18"/>
                <w:u w:val="none"/>
                <w:lang w:val="en-US" w:eastAsia="zh-CN" w:bidi="ar-SA"/>
              </w:rPr>
              <w:t>11</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eastAsia="zh-CN"/>
        </w:rPr>
      </w:pPr>
      <w:r>
        <w:drawing>
          <wp:inline distT="0" distB="0" distL="114300" distR="114300">
            <wp:extent cx="4572000" cy="2743200"/>
            <wp:effectExtent l="4445" t="4445" r="14605" b="1460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594" w:lineRule="exact"/>
        <w:ind w:firstLine="400" w:firstLineChars="200"/>
        <w:jc w:val="center"/>
        <w:textAlignment w:val="auto"/>
        <w:rPr>
          <w:rFonts w:hint="eastAsia" w:ascii="黑体" w:hAnsi="黑体" w:eastAsia="黑体" w:cs="黑体"/>
          <w:sz w:val="32"/>
          <w:szCs w:val="32"/>
          <w:lang w:eastAsia="zh-CN"/>
        </w:rPr>
      </w:pPr>
      <w:r>
        <w:rPr>
          <w:rFonts w:hint="eastAsia" w:ascii="黑体" w:hAnsi="黑体" w:eastAsia="黑体" w:cs="黑体"/>
          <w:lang w:eastAsia="zh-CN"/>
        </w:rPr>
        <w:t>图</w:t>
      </w:r>
      <w:r>
        <w:rPr>
          <w:rFonts w:hint="eastAsia" w:ascii="黑体" w:hAnsi="黑体" w:eastAsia="黑体" w:cs="黑体"/>
          <w:lang w:val="en-US" w:eastAsia="zh-CN"/>
        </w:rPr>
        <w:t>1</w:t>
      </w:r>
      <w:r>
        <w:rPr>
          <w:rFonts w:hint="eastAsia" w:ascii="黑体" w:hAnsi="黑体" w:eastAsia="黑体" w:cs="黑体"/>
          <w:color w:val="auto"/>
          <w:sz w:val="20"/>
          <w:szCs w:val="20"/>
          <w:highlight w:val="none"/>
          <w:lang w:val="en-US" w:eastAsia="zh-CN"/>
        </w:rPr>
        <w:t xml:space="preserve">  </w:t>
      </w:r>
      <w:r>
        <w:rPr>
          <w:rFonts w:hint="eastAsia" w:ascii="黑体" w:hAnsi="黑体" w:eastAsia="黑体" w:cs="黑体"/>
          <w:color w:val="auto"/>
          <w:sz w:val="20"/>
          <w:szCs w:val="20"/>
          <w:highlight w:val="none"/>
          <w:lang w:eastAsia="zh-CN"/>
        </w:rPr>
        <w:t>不同抽查领域</w:t>
      </w:r>
      <w:r>
        <w:rPr>
          <w:rFonts w:hint="eastAsia" w:ascii="黑体" w:hAnsi="黑体" w:eastAsia="黑体" w:cs="黑体"/>
          <w:color w:val="auto"/>
          <w:spacing w:val="-4"/>
          <w:sz w:val="20"/>
          <w:szCs w:val="20"/>
          <w:highlight w:val="none"/>
        </w:rPr>
        <w:t>抽检情况</w:t>
      </w:r>
    </w:p>
    <w:p>
      <w:pPr>
        <w:pStyle w:val="6"/>
        <w:keepNext w:val="0"/>
        <w:keepLines w:val="0"/>
        <w:pageBreakBefore w:val="0"/>
        <w:widowControl w:val="0"/>
        <w:numPr>
          <w:ilvl w:val="0"/>
          <w:numId w:val="0"/>
        </w:numPr>
        <w:kinsoku/>
        <w:wordWrap/>
        <w:overflowPunct/>
        <w:topLinePunct w:val="0"/>
        <w:bidi w:val="0"/>
        <w:snapToGrid/>
        <w:spacing w:line="594"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hAnsi="仿宋_GB2312" w:cs="仿宋_GB2312"/>
          <w:sz w:val="32"/>
          <w:szCs w:val="32"/>
          <w:lang w:eastAsia="zh-CN"/>
        </w:rPr>
        <w:t>二</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按产品类型统计不合格率</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此次抽查的</w:t>
      </w:r>
      <w:r>
        <w:rPr>
          <w:rFonts w:hint="eastAsia" w:ascii="仿宋_GB2312" w:hAnsi="仿宋_GB2312" w:eastAsia="仿宋_GB2312" w:cs="仿宋_GB2312"/>
          <w:color w:val="000000"/>
          <w:sz w:val="32"/>
          <w:szCs w:val="32"/>
          <w:highlight w:val="none"/>
          <w:lang w:val="en-US" w:eastAsia="zh-CN" w:bidi="ar-SA"/>
        </w:rPr>
        <w:t>玩具、电玩具、家用电器、食品接触用产品、信息技术设备、鞋类产品、卫生用品、毛巾、学生用品、湿巾、旅行箱包等产品</w:t>
      </w:r>
      <w:r>
        <w:rPr>
          <w:rFonts w:hint="eastAsia" w:ascii="仿宋_GB2312" w:hAnsi="仿宋_GB2312" w:eastAsia="仿宋_GB2312" w:cs="仿宋_GB2312"/>
          <w:color w:val="000000"/>
          <w:sz w:val="32"/>
          <w:szCs w:val="32"/>
          <w:lang w:val="en-US" w:eastAsia="zh-CN" w:bidi="ar-SA"/>
        </w:rPr>
        <w:t>共100批次产品。其中：</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highlight w:val="none"/>
          <w:lang w:val="en-US" w:eastAsia="zh-CN" w:bidi="ar-SA"/>
        </w:rPr>
        <w:t>玩具</w:t>
      </w:r>
      <w:r>
        <w:rPr>
          <w:rFonts w:hint="eastAsia" w:ascii="仿宋_GB2312" w:hAnsi="仿宋_GB2312" w:eastAsia="仿宋_GB2312" w:cs="仿宋_GB2312"/>
          <w:color w:val="000000"/>
          <w:sz w:val="32"/>
          <w:szCs w:val="32"/>
          <w:lang w:val="en-US" w:eastAsia="zh-CN" w:bidi="ar-SA"/>
        </w:rPr>
        <w:t>产品共抽检16批次，不合格0批次，不合格率0%；</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highlight w:val="none"/>
          <w:lang w:val="en-US" w:eastAsia="zh-CN" w:bidi="ar-SA"/>
        </w:rPr>
        <w:t>电玩具产品</w:t>
      </w:r>
      <w:r>
        <w:rPr>
          <w:rFonts w:hint="eastAsia" w:ascii="仿宋_GB2312" w:hAnsi="仿宋_GB2312" w:eastAsia="仿宋_GB2312" w:cs="仿宋_GB2312"/>
          <w:color w:val="000000"/>
          <w:sz w:val="32"/>
          <w:szCs w:val="32"/>
          <w:lang w:val="en-US" w:eastAsia="zh-CN" w:bidi="ar-SA"/>
        </w:rPr>
        <w:t>共抽检5批次，不合格0批次，不合格率0%；</w:t>
      </w:r>
    </w:p>
    <w:p>
      <w:pPr>
        <w:snapToGrid w:val="0"/>
        <w:spacing w:line="360" w:lineRule="auto"/>
        <w:ind w:firstLine="640" w:firstLineChars="200"/>
        <w:jc w:val="left"/>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家用电器产品</w:t>
      </w:r>
      <w:r>
        <w:rPr>
          <w:rFonts w:hint="eastAsia" w:ascii="仿宋_GB2312" w:hAnsi="仿宋_GB2312" w:eastAsia="仿宋_GB2312" w:cs="仿宋_GB2312"/>
          <w:color w:val="000000"/>
          <w:sz w:val="32"/>
          <w:szCs w:val="32"/>
          <w:lang w:val="en-US" w:eastAsia="zh-CN" w:bidi="ar-SA"/>
        </w:rPr>
        <w:t>共抽</w:t>
      </w:r>
      <w:r>
        <w:rPr>
          <w:rFonts w:hint="eastAsia" w:ascii="仿宋_GB2312" w:hAnsi="仿宋_GB2312" w:eastAsia="仿宋_GB2312" w:cs="仿宋_GB2312"/>
          <w:color w:val="000000"/>
          <w:sz w:val="32"/>
          <w:szCs w:val="32"/>
          <w:highlight w:val="none"/>
          <w:lang w:val="en-US" w:eastAsia="zh-CN" w:bidi="ar-SA"/>
        </w:rPr>
        <w:t>检25批次，不合格4批次，不合格率16%。</w:t>
      </w:r>
    </w:p>
    <w:p>
      <w:pPr>
        <w:snapToGrid w:val="0"/>
        <w:spacing w:line="360" w:lineRule="auto"/>
        <w:ind w:firstLine="640" w:firstLineChars="200"/>
        <w:jc w:val="left"/>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食品接触用产品共抽检10批次，不合格0批次，不合格率0%。</w:t>
      </w:r>
    </w:p>
    <w:p>
      <w:pPr>
        <w:snapToGrid w:val="0"/>
        <w:spacing w:line="360" w:lineRule="auto"/>
        <w:ind w:firstLine="640" w:firstLineChars="200"/>
        <w:jc w:val="left"/>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信息技术设备共抽检5批次，不合格4批次，不合格率80%。</w:t>
      </w:r>
    </w:p>
    <w:p>
      <w:pPr>
        <w:pStyle w:val="11"/>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鞋类产品共抽检5批次，不合格1批次，不合格率20%。</w:t>
      </w:r>
    </w:p>
    <w:p>
      <w:pPr>
        <w:pStyle w:val="11"/>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highlight w:val="none"/>
          <w:lang w:val="en-US" w:eastAsia="zh-CN" w:bidi="ar-SA"/>
        </w:rPr>
        <w:t>卫生用品</w:t>
      </w:r>
      <w:r>
        <w:rPr>
          <w:rFonts w:hint="eastAsia" w:ascii="仿宋_GB2312" w:hAnsi="仿宋_GB2312" w:eastAsia="仿宋_GB2312" w:cs="仿宋_GB2312"/>
          <w:color w:val="000000"/>
          <w:sz w:val="32"/>
          <w:szCs w:val="32"/>
          <w:lang w:val="en-US" w:eastAsia="zh-CN" w:bidi="ar-SA"/>
        </w:rPr>
        <w:t>共抽检13批次，不合格0批次，不合格率0%。</w:t>
      </w:r>
    </w:p>
    <w:p>
      <w:pPr>
        <w:pStyle w:val="11"/>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highlight w:val="none"/>
          <w:lang w:val="en-US" w:eastAsia="zh-CN" w:bidi="ar-SA"/>
        </w:rPr>
        <w:t>毛巾</w:t>
      </w:r>
      <w:r>
        <w:rPr>
          <w:rFonts w:hint="eastAsia" w:ascii="仿宋_GB2312" w:hAnsi="仿宋_GB2312" w:eastAsia="仿宋_GB2312" w:cs="仿宋_GB2312"/>
          <w:color w:val="000000"/>
          <w:sz w:val="32"/>
          <w:szCs w:val="32"/>
          <w:lang w:val="en-US" w:eastAsia="zh-CN" w:bidi="ar-SA"/>
        </w:rPr>
        <w:t>共抽检5批次，不合格0批次，不合格率0%。</w:t>
      </w:r>
    </w:p>
    <w:p>
      <w:pPr>
        <w:pStyle w:val="11"/>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highlight w:val="none"/>
          <w:lang w:val="en-US" w:eastAsia="zh-CN" w:bidi="ar-SA"/>
        </w:rPr>
        <w:t>学生用品</w:t>
      </w:r>
      <w:r>
        <w:rPr>
          <w:rFonts w:hint="eastAsia" w:ascii="仿宋_GB2312" w:hAnsi="仿宋_GB2312" w:eastAsia="仿宋_GB2312" w:cs="仿宋_GB2312"/>
          <w:color w:val="000000"/>
          <w:sz w:val="32"/>
          <w:szCs w:val="32"/>
          <w:lang w:val="en-US" w:eastAsia="zh-CN" w:bidi="ar-SA"/>
        </w:rPr>
        <w:t>共抽检10批次，不合格0批次，不合格率0%。</w:t>
      </w:r>
    </w:p>
    <w:p>
      <w:pPr>
        <w:pStyle w:val="11"/>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highlight w:val="none"/>
          <w:lang w:val="en-US" w:eastAsia="zh-CN" w:bidi="ar-SA"/>
        </w:rPr>
        <w:t>湿巾</w:t>
      </w:r>
      <w:r>
        <w:rPr>
          <w:rFonts w:hint="eastAsia" w:ascii="仿宋_GB2312" w:hAnsi="仿宋_GB2312" w:eastAsia="仿宋_GB2312" w:cs="仿宋_GB2312"/>
          <w:color w:val="000000"/>
          <w:sz w:val="32"/>
          <w:szCs w:val="32"/>
          <w:lang w:val="en-US" w:eastAsia="zh-CN" w:bidi="ar-SA"/>
        </w:rPr>
        <w:t>共抽检3批次，不合格0批次，不合格率0%。</w:t>
      </w:r>
    </w:p>
    <w:p>
      <w:pPr>
        <w:pStyle w:val="11"/>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highlight w:val="none"/>
          <w:lang w:val="en-US" w:eastAsia="zh-CN" w:bidi="ar-SA"/>
        </w:rPr>
        <w:t>旅行箱包</w:t>
      </w:r>
      <w:r>
        <w:rPr>
          <w:rFonts w:hint="eastAsia" w:ascii="仿宋_GB2312" w:hAnsi="仿宋_GB2312" w:eastAsia="仿宋_GB2312" w:cs="仿宋_GB2312"/>
          <w:color w:val="000000"/>
          <w:sz w:val="32"/>
          <w:szCs w:val="32"/>
          <w:lang w:val="en-US" w:eastAsia="zh-CN" w:bidi="ar-SA"/>
        </w:rPr>
        <w:t>共抽检3批次，不合格2批次，不合格率66.67%。</w:t>
      </w:r>
    </w:p>
    <w:p>
      <w:pPr>
        <w:pStyle w:val="10"/>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不同产品类型具体抽检情况</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2、图2和图3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105" w:line="594" w:lineRule="exact"/>
        <w:ind w:firstLine="3165"/>
        <w:jc w:val="left"/>
        <w:rPr>
          <w:rFonts w:ascii="黑体" w:hAnsi="黑体" w:eastAsia="黑体" w:cs="黑体"/>
          <w:color w:val="auto"/>
          <w:sz w:val="20"/>
          <w:szCs w:val="20"/>
        </w:rPr>
      </w:pPr>
      <w:r>
        <w:rPr>
          <w:rFonts w:ascii="黑体" w:hAnsi="黑体" w:eastAsia="黑体" w:cs="黑体"/>
          <w:color w:val="auto"/>
          <w:spacing w:val="-4"/>
          <w:sz w:val="20"/>
          <w:szCs w:val="20"/>
        </w:rPr>
        <w:t>表</w:t>
      </w:r>
      <w:r>
        <w:rPr>
          <w:rFonts w:ascii="黑体" w:hAnsi="黑体" w:eastAsia="黑体" w:cs="黑体"/>
          <w:color w:val="auto"/>
          <w:spacing w:val="-19"/>
          <w:sz w:val="20"/>
          <w:szCs w:val="20"/>
        </w:rPr>
        <w:t xml:space="preserve"> </w:t>
      </w:r>
      <w:r>
        <w:rPr>
          <w:rFonts w:hint="eastAsia" w:ascii="黑体" w:hAnsi="黑体" w:eastAsia="黑体" w:cs="黑体"/>
          <w:color w:val="auto"/>
          <w:spacing w:val="-19"/>
          <w:sz w:val="20"/>
          <w:szCs w:val="20"/>
          <w:lang w:val="en-US" w:eastAsia="zh-CN"/>
        </w:rPr>
        <w:t>2</w:t>
      </w:r>
      <w:r>
        <w:rPr>
          <w:rFonts w:hint="eastAsia" w:ascii="黑体" w:hAnsi="黑体" w:eastAsia="黑体" w:cs="黑体"/>
          <w:color w:val="auto"/>
          <w:spacing w:val="10"/>
          <w:sz w:val="20"/>
          <w:szCs w:val="20"/>
          <w:lang w:val="en-US" w:eastAsia="zh-CN"/>
        </w:rPr>
        <w:t xml:space="preserve">  </w:t>
      </w:r>
      <w:r>
        <w:rPr>
          <w:rFonts w:ascii="黑体" w:hAnsi="黑体" w:eastAsia="黑体" w:cs="黑体"/>
          <w:color w:val="auto"/>
          <w:spacing w:val="-4"/>
          <w:sz w:val="20"/>
          <w:szCs w:val="20"/>
        </w:rPr>
        <w:t>不同产品</w:t>
      </w:r>
      <w:r>
        <w:rPr>
          <w:rFonts w:hint="eastAsia" w:ascii="黑体" w:hAnsi="黑体" w:eastAsia="黑体" w:cs="黑体"/>
          <w:color w:val="auto"/>
          <w:spacing w:val="-4"/>
          <w:sz w:val="20"/>
          <w:szCs w:val="20"/>
          <w:lang w:eastAsia="zh-CN"/>
        </w:rPr>
        <w:t>类型</w:t>
      </w:r>
      <w:r>
        <w:rPr>
          <w:rFonts w:ascii="黑体" w:hAnsi="黑体" w:eastAsia="黑体" w:cs="黑体"/>
          <w:color w:val="auto"/>
          <w:spacing w:val="-4"/>
          <w:sz w:val="20"/>
          <w:szCs w:val="20"/>
        </w:rPr>
        <w:t>抽检情况表</w:t>
      </w:r>
    </w:p>
    <w:tbl>
      <w:tblPr>
        <w:tblStyle w:val="8"/>
        <w:tblW w:w="8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3"/>
        <w:gridCol w:w="1934"/>
        <w:gridCol w:w="1916"/>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rFonts w:hint="eastAsia" w:ascii="宋体" w:hAnsi="宋体" w:eastAsia="宋体" w:cs="宋体"/>
                <w:sz w:val="18"/>
                <w:szCs w:val="18"/>
                <w:lang w:val="en-US" w:eastAsia="zh-CN" w:bidi="ar"/>
              </w:rPr>
              <w:t>产品类型</w:t>
            </w:r>
          </w:p>
        </w:tc>
        <w:tc>
          <w:tcPr>
            <w:tcW w:w="193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rFonts w:hint="eastAsia" w:ascii="宋体" w:hAnsi="宋体" w:eastAsia="宋体" w:cs="宋体"/>
                <w:sz w:val="18"/>
                <w:szCs w:val="18"/>
                <w:lang w:val="en-US" w:eastAsia="zh-CN" w:bidi="ar"/>
              </w:rPr>
              <w:t>抽查批次数</w:t>
            </w:r>
          </w:p>
        </w:tc>
        <w:tc>
          <w:tcPr>
            <w:tcW w:w="19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rFonts w:hint="eastAsia" w:ascii="宋体" w:hAnsi="宋体" w:eastAsia="宋体" w:cs="宋体"/>
                <w:sz w:val="18"/>
                <w:szCs w:val="18"/>
                <w:lang w:val="en-US" w:eastAsia="zh-CN" w:bidi="ar"/>
              </w:rPr>
              <w:t>不合格批次数</w:t>
            </w:r>
          </w:p>
        </w:tc>
        <w:tc>
          <w:tcPr>
            <w:tcW w:w="2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rFonts w:hint="eastAsia" w:ascii="宋体" w:hAnsi="宋体" w:eastAsia="宋体" w:cs="宋体"/>
                <w:sz w:val="18"/>
                <w:szCs w:val="18"/>
                <w:lang w:val="en-US" w:eastAsia="zh-CN" w:bidi="ar"/>
              </w:rPr>
              <w:t>不合格发现率%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highlight w:val="none"/>
                <w:lang w:val="en-US" w:eastAsia="zh-CN" w:bidi="ar-SA"/>
              </w:rPr>
              <w:t>玩具</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highlight w:val="none"/>
                <w:lang w:val="en-US" w:eastAsia="zh-CN" w:bidi="ar-SA"/>
              </w:rPr>
              <w:t>电玩具</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rPr>
              <w:t>0</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highlight w:val="none"/>
                <w:lang w:val="en-US" w:eastAsia="zh-CN" w:bidi="ar-SA"/>
              </w:rPr>
              <w:t>家用电器</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highlight w:val="none"/>
                <w:lang w:val="en-US" w:eastAsia="zh-CN" w:bidi="ar-SA"/>
              </w:rPr>
              <w:t>食品接触用产品</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highlight w:val="none"/>
                <w:lang w:val="en-US" w:eastAsia="zh-CN" w:bidi="ar-SA"/>
              </w:rPr>
              <w:t>信息技术设备</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highlight w:val="none"/>
                <w:lang w:val="en-US" w:eastAsia="zh-CN" w:bidi="ar-SA"/>
              </w:rPr>
              <w:t>鞋类</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highlight w:val="none"/>
                <w:lang w:val="en-US" w:eastAsia="zh-CN" w:bidi="ar-SA"/>
              </w:rPr>
              <w:t>卫生用品</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13</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毛巾</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学生用品</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湿巾</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bidi="ar-SA"/>
              </w:rPr>
              <w:t>旅行箱包</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rFonts w:hint="eastAsia" w:ascii="宋体" w:hAnsi="宋体" w:eastAsia="宋体" w:cs="宋体"/>
                <w:sz w:val="18"/>
                <w:szCs w:val="18"/>
                <w:lang w:val="en-US" w:eastAsia="zh-CN" w:bidi="ar"/>
              </w:rPr>
              <w:t>合计</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00" w:type="dxa"/>
            <w:tcBorders>
              <w:top w:val="nil"/>
              <w:left w:val="single" w:color="000000" w:sz="8" w:space="0"/>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bl>
    <w:p>
      <w:pPr>
        <w:pStyle w:val="6"/>
        <w:keepNext w:val="0"/>
        <w:keepLines w:val="0"/>
        <w:pageBreakBefore w:val="0"/>
        <w:widowControl w:val="0"/>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sz w:val="32"/>
          <w:szCs w:val="32"/>
          <w:lang w:eastAsia="zh-CN"/>
        </w:rPr>
      </w:pPr>
      <w:r>
        <w:drawing>
          <wp:inline distT="0" distB="0" distL="114300" distR="114300">
            <wp:extent cx="4572000" cy="2743200"/>
            <wp:effectExtent l="4445" t="4445" r="14605" b="1460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1"/>
        <w:jc w:val="center"/>
        <w:rPr>
          <w:rFonts w:hint="eastAsia" w:ascii="黑体" w:hAnsi="黑体" w:eastAsia="黑体" w:cs="黑体"/>
          <w:kern w:val="0"/>
          <w:sz w:val="20"/>
          <w:szCs w:val="20"/>
          <w:lang w:val="en-US" w:eastAsia="zh-CN" w:bidi="ar-SA"/>
        </w:rPr>
      </w:pPr>
      <w:r>
        <w:rPr>
          <w:rFonts w:hint="eastAsia" w:ascii="黑体" w:hAnsi="黑体" w:eastAsia="黑体" w:cs="黑体"/>
          <w:kern w:val="0"/>
          <w:sz w:val="20"/>
          <w:szCs w:val="20"/>
          <w:lang w:val="en-US" w:eastAsia="zh-CN" w:bidi="ar-SA"/>
        </w:rPr>
        <w:t>图2  不同产品类型抽检情况</w:t>
      </w:r>
    </w:p>
    <w:p>
      <w:pPr>
        <w:pStyle w:val="2"/>
      </w:pPr>
    </w:p>
    <w:p>
      <w:pPr>
        <w:pStyle w:val="11"/>
        <w:jc w:val="center"/>
        <w:rPr>
          <w:rFonts w:hint="eastAsia" w:ascii="黑体" w:hAnsi="黑体" w:eastAsia="黑体" w:cs="黑体"/>
          <w:color w:val="auto"/>
          <w:spacing w:val="-4"/>
          <w:sz w:val="20"/>
          <w:szCs w:val="20"/>
          <w:highlight w:val="none"/>
        </w:rPr>
      </w:pPr>
      <w:r>
        <w:drawing>
          <wp:inline distT="0" distB="0" distL="114300" distR="114300">
            <wp:extent cx="4572000" cy="27432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1"/>
        <w:jc w:val="center"/>
        <w:rPr>
          <w:rFonts w:hint="eastAsia" w:ascii="黑体" w:hAnsi="黑体" w:eastAsia="黑体" w:cs="黑体"/>
          <w:kern w:val="0"/>
          <w:sz w:val="20"/>
          <w:szCs w:val="20"/>
          <w:lang w:val="en-US" w:eastAsia="zh-CN" w:bidi="ar-SA"/>
        </w:rPr>
      </w:pPr>
      <w:r>
        <w:rPr>
          <w:rFonts w:hint="eastAsia" w:ascii="黑体" w:hAnsi="黑体" w:eastAsia="黑体" w:cs="黑体"/>
          <w:kern w:val="0"/>
          <w:sz w:val="20"/>
          <w:szCs w:val="20"/>
          <w:lang w:val="en-US" w:eastAsia="zh-CN" w:bidi="ar-SA"/>
        </w:rPr>
        <w:t>图3 不同产品类型抽查占比情况</w:t>
      </w:r>
    </w:p>
    <w:p>
      <w:pPr>
        <w:pStyle w:val="6"/>
        <w:keepNext w:val="0"/>
        <w:keepLines w:val="0"/>
        <w:pageBreakBefore w:val="0"/>
        <w:widowControl w:val="0"/>
        <w:kinsoku/>
        <w:wordWrap/>
        <w:overflowPunct/>
        <w:topLinePunct w:val="0"/>
        <w:bidi w:val="0"/>
        <w:snapToGrid/>
        <w:spacing w:line="594" w:lineRule="exact"/>
        <w:ind w:left="0" w:leftChars="0" w:firstLine="0" w:firstLineChars="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w:t>
      </w:r>
      <w:r>
        <w:rPr>
          <w:rFonts w:hint="eastAsia" w:hAnsi="仿宋_GB2312" w:cs="仿宋_GB2312"/>
          <w:sz w:val="32"/>
          <w:szCs w:val="32"/>
          <w:lang w:eastAsia="zh-CN"/>
        </w:rPr>
        <w:t>三</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按</w:t>
      </w:r>
      <w:r>
        <w:rPr>
          <w:rFonts w:hint="eastAsia" w:ascii="楷体_GB2312" w:hAnsi="楷体_GB2312" w:eastAsia="楷体_GB2312" w:cs="楷体_GB2312"/>
          <w:sz w:val="32"/>
          <w:szCs w:val="32"/>
          <w:lang w:eastAsia="zh-CN"/>
        </w:rPr>
        <w:t>销售</w:t>
      </w:r>
      <w:r>
        <w:rPr>
          <w:rFonts w:hint="eastAsia" w:ascii="楷体_GB2312" w:hAnsi="楷体_GB2312" w:eastAsia="楷体_GB2312" w:cs="楷体_GB2312"/>
          <w:sz w:val="32"/>
          <w:szCs w:val="32"/>
        </w:rPr>
        <w:t>企业所在地统计企业和产品不合格率</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此次商品抽查共涉及4个地区，100批次样品，经检验其中：</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濉溪县抽查32批次，合格29批次，合格率90.63%；</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杜集区抽查16批次，合格12批次，合格率75%；</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相山区抽查50批次，合格46批次，合格率92%；</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烈山区抽查2批次，合格2批次，合格率100%；</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不同抽检地区具体抽检情况如下</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3、图4和图5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10"/>
        <w:keepNext w:val="0"/>
        <w:keepLines w:val="0"/>
        <w:pageBreakBefore w:val="0"/>
        <w:kinsoku/>
        <w:wordWrap/>
        <w:overflowPunct/>
        <w:topLinePunct w:val="0"/>
        <w:bidi w:val="0"/>
        <w:spacing w:line="594" w:lineRule="exact"/>
        <w:ind w:firstLineChars="210"/>
        <w:jc w:val="center"/>
        <w:rPr>
          <w:rFonts w:hint="eastAsia" w:ascii="仿宋_GB2312" w:hAnsi="仿宋_GB2312" w:eastAsia="仿宋_GB2312" w:cs="仿宋_GB2312"/>
          <w:sz w:val="32"/>
          <w:szCs w:val="32"/>
        </w:rPr>
      </w:pPr>
      <w:r>
        <w:rPr>
          <w:rFonts w:hint="eastAsia" w:ascii="黑体" w:hAnsi="黑体" w:eastAsia="黑体" w:cs="黑体"/>
          <w:color w:val="auto"/>
          <w:spacing w:val="-4"/>
          <w:sz w:val="20"/>
          <w:szCs w:val="20"/>
        </w:rPr>
        <w:t>表</w:t>
      </w:r>
      <w:r>
        <w:rPr>
          <w:rFonts w:hint="eastAsia" w:ascii="黑体" w:hAnsi="黑体" w:eastAsia="黑体" w:cs="黑体"/>
          <w:color w:val="auto"/>
          <w:spacing w:val="-4"/>
          <w:sz w:val="20"/>
          <w:szCs w:val="20"/>
          <w:lang w:val="en-US" w:eastAsia="zh-CN"/>
        </w:rPr>
        <w:t>3</w:t>
      </w:r>
      <w:r>
        <w:rPr>
          <w:rFonts w:hint="eastAsia" w:ascii="黑体" w:hAnsi="黑体" w:eastAsia="黑体" w:cs="黑体"/>
          <w:color w:val="auto"/>
          <w:spacing w:val="-4"/>
          <w:sz w:val="20"/>
          <w:szCs w:val="20"/>
        </w:rPr>
        <w:t xml:space="preserve"> </w:t>
      </w:r>
      <w:r>
        <w:rPr>
          <w:rFonts w:hint="eastAsia" w:ascii="黑体" w:hAnsi="黑体" w:eastAsia="黑体" w:cs="黑体"/>
          <w:color w:val="auto"/>
          <w:spacing w:val="-4"/>
          <w:sz w:val="20"/>
          <w:szCs w:val="20"/>
          <w:lang w:val="en-US" w:eastAsia="zh-CN"/>
        </w:rPr>
        <w:t xml:space="preserve"> </w:t>
      </w:r>
      <w:r>
        <w:rPr>
          <w:rFonts w:ascii="黑体" w:hAnsi="黑体" w:eastAsia="黑体" w:cs="黑体"/>
          <w:color w:val="auto"/>
          <w:spacing w:val="-3"/>
          <w:sz w:val="20"/>
          <w:szCs w:val="20"/>
        </w:rPr>
        <w:t>不同地区抽检情况表</w:t>
      </w:r>
    </w:p>
    <w:tbl>
      <w:tblPr>
        <w:tblStyle w:val="8"/>
        <w:tblW w:w="8720" w:type="dxa"/>
        <w:jc w:val="center"/>
        <w:tblLayout w:type="fixed"/>
        <w:tblCellMar>
          <w:top w:w="0" w:type="dxa"/>
          <w:left w:w="108" w:type="dxa"/>
          <w:bottom w:w="0" w:type="dxa"/>
          <w:right w:w="108" w:type="dxa"/>
        </w:tblCellMar>
      </w:tblPr>
      <w:tblGrid>
        <w:gridCol w:w="1179"/>
        <w:gridCol w:w="1225"/>
        <w:gridCol w:w="1333"/>
        <w:gridCol w:w="1245"/>
        <w:gridCol w:w="1246"/>
        <w:gridCol w:w="1246"/>
        <w:gridCol w:w="1246"/>
      </w:tblGrid>
      <w:tr>
        <w:tblPrEx>
          <w:tblCellMar>
            <w:top w:w="0" w:type="dxa"/>
            <w:left w:w="108" w:type="dxa"/>
            <w:bottom w:w="0" w:type="dxa"/>
            <w:right w:w="108" w:type="dxa"/>
          </w:tblCellMar>
        </w:tblPrEx>
        <w:trPr>
          <w:trHeight w:val="1128" w:hRule="atLeast"/>
          <w:tblHeader/>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销售企业所在地</w:t>
            </w:r>
          </w:p>
        </w:tc>
        <w:tc>
          <w:tcPr>
            <w:tcW w:w="12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抽查企业数</w:t>
            </w:r>
          </w:p>
        </w:tc>
        <w:tc>
          <w:tcPr>
            <w:tcW w:w="13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不合格企业数</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企业抽查不合格率（%）</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抽查样品数</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不合格样品数</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抽样不合格率（%）</w:t>
            </w:r>
          </w:p>
        </w:tc>
      </w:tr>
      <w:tr>
        <w:tblPrEx>
          <w:tblCellMar>
            <w:top w:w="0" w:type="dxa"/>
            <w:left w:w="108" w:type="dxa"/>
            <w:bottom w:w="0" w:type="dxa"/>
            <w:right w:w="108" w:type="dxa"/>
          </w:tblCellMar>
        </w:tblPrEx>
        <w:trPr>
          <w:trHeight w:val="486"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濉溪县</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7</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2</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28.57</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32</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3</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9.38</w:t>
            </w:r>
          </w:p>
        </w:tc>
      </w:tr>
      <w:tr>
        <w:tblPrEx>
          <w:tblCellMar>
            <w:top w:w="0" w:type="dxa"/>
            <w:left w:w="108" w:type="dxa"/>
            <w:bottom w:w="0" w:type="dxa"/>
            <w:right w:w="108" w:type="dxa"/>
          </w:tblCellMar>
        </w:tblPrEx>
        <w:trPr>
          <w:trHeight w:val="486"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杜集区</w:t>
            </w:r>
          </w:p>
        </w:tc>
        <w:tc>
          <w:tcPr>
            <w:tcW w:w="1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3</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50</w:t>
            </w:r>
          </w:p>
        </w:tc>
        <w:tc>
          <w:tcPr>
            <w:tcW w:w="12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16</w:t>
            </w:r>
          </w:p>
        </w:tc>
        <w:tc>
          <w:tcPr>
            <w:tcW w:w="12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4</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w:t>
            </w:r>
          </w:p>
        </w:tc>
      </w:tr>
      <w:tr>
        <w:tblPrEx>
          <w:tblCellMar>
            <w:top w:w="0" w:type="dxa"/>
            <w:left w:w="108" w:type="dxa"/>
            <w:bottom w:w="0" w:type="dxa"/>
            <w:right w:w="108" w:type="dxa"/>
          </w:tblCellMar>
        </w:tblPrEx>
        <w:trPr>
          <w:trHeight w:val="442"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相山区</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13</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3</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23.08</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50</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4</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w:t>
            </w:r>
          </w:p>
        </w:tc>
      </w:tr>
      <w:tr>
        <w:tblPrEx>
          <w:tblCellMar>
            <w:top w:w="0" w:type="dxa"/>
            <w:left w:w="108" w:type="dxa"/>
            <w:bottom w:w="0" w:type="dxa"/>
            <w:right w:w="108" w:type="dxa"/>
          </w:tblCellMar>
        </w:tblPrEx>
        <w:trPr>
          <w:trHeight w:val="442"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烈山区</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1</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2</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0</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108" w:type="dxa"/>
            <w:bottom w:w="0" w:type="dxa"/>
            <w:right w:w="108" w:type="dxa"/>
          </w:tblCellMar>
        </w:tblPrEx>
        <w:trPr>
          <w:trHeight w:val="442"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合计</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29.63</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w:t>
            </w:r>
          </w:p>
        </w:tc>
      </w:tr>
    </w:tbl>
    <w:p>
      <w:pPr>
        <w:pStyle w:val="6"/>
        <w:keepNext w:val="0"/>
        <w:keepLines w:val="0"/>
        <w:pageBreakBefore w:val="0"/>
        <w:widowControl w:val="0"/>
        <w:numPr>
          <w:ilvl w:val="0"/>
          <w:numId w:val="0"/>
        </w:numPr>
        <w:kinsoku/>
        <w:wordWrap/>
        <w:overflowPunct/>
        <w:topLinePunct w:val="0"/>
        <w:bidi w:val="0"/>
        <w:snapToGrid/>
        <w:spacing w:line="240" w:lineRule="auto"/>
        <w:jc w:val="center"/>
      </w:pPr>
      <w:r>
        <w:drawing>
          <wp:inline distT="0" distB="0" distL="114300" distR="114300">
            <wp:extent cx="4572000" cy="2743200"/>
            <wp:effectExtent l="4445" t="4445" r="14605" b="1460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6"/>
        <w:keepNext w:val="0"/>
        <w:keepLines w:val="0"/>
        <w:pageBreakBefore w:val="0"/>
        <w:widowControl w:val="0"/>
        <w:numPr>
          <w:ilvl w:val="0"/>
          <w:numId w:val="0"/>
        </w:numPr>
        <w:kinsoku/>
        <w:wordWrap/>
        <w:overflowPunct/>
        <w:topLinePunct w:val="0"/>
        <w:bidi w:val="0"/>
        <w:snapToGrid/>
        <w:spacing w:line="240" w:lineRule="auto"/>
        <w:ind w:firstLine="3200" w:firstLineChars="1600"/>
        <w:jc w:val="both"/>
        <w:rPr>
          <w:rFonts w:hint="eastAsia" w:ascii="黑体" w:hAnsi="黑体" w:eastAsia="黑体" w:cs="黑体"/>
          <w:color w:val="auto"/>
          <w:sz w:val="20"/>
          <w:szCs w:val="20"/>
          <w:lang w:val="en-US" w:eastAsia="zh-CN" w:bidi="ar-SA"/>
        </w:rPr>
      </w:pPr>
      <w:r>
        <w:rPr>
          <w:rFonts w:hint="eastAsia" w:ascii="黑体" w:hAnsi="黑体" w:eastAsia="黑体" w:cs="黑体"/>
          <w:color w:val="auto"/>
          <w:sz w:val="20"/>
          <w:szCs w:val="20"/>
          <w:lang w:val="en-US" w:eastAsia="zh-CN" w:bidi="ar-SA"/>
        </w:rPr>
        <w:t>图4  不同地区抽检情况</w:t>
      </w:r>
    </w:p>
    <w:p>
      <w:pPr>
        <w:pStyle w:val="6"/>
        <w:keepNext w:val="0"/>
        <w:keepLines w:val="0"/>
        <w:pageBreakBefore w:val="0"/>
        <w:widowControl w:val="0"/>
        <w:numPr>
          <w:ilvl w:val="0"/>
          <w:numId w:val="0"/>
        </w:numPr>
        <w:kinsoku/>
        <w:wordWrap/>
        <w:overflowPunct/>
        <w:topLinePunct w:val="0"/>
        <w:bidi w:val="0"/>
        <w:snapToGrid/>
        <w:spacing w:line="240" w:lineRule="auto"/>
        <w:ind w:left="0" w:leftChars="0"/>
        <w:jc w:val="center"/>
      </w:pPr>
      <w:r>
        <w:drawing>
          <wp:inline distT="0" distB="0" distL="114300" distR="114300">
            <wp:extent cx="4572000" cy="2743200"/>
            <wp:effectExtent l="4445" t="4445" r="14605" b="14605"/>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6"/>
        <w:keepNext w:val="0"/>
        <w:keepLines w:val="0"/>
        <w:pageBreakBefore w:val="0"/>
        <w:widowControl w:val="0"/>
        <w:numPr>
          <w:ilvl w:val="0"/>
          <w:numId w:val="0"/>
        </w:numPr>
        <w:kinsoku/>
        <w:wordWrap/>
        <w:overflowPunct/>
        <w:topLinePunct w:val="0"/>
        <w:bidi w:val="0"/>
        <w:snapToGrid/>
        <w:spacing w:line="240" w:lineRule="auto"/>
        <w:ind w:firstLine="3200" w:firstLineChars="1600"/>
        <w:jc w:val="both"/>
        <w:rPr>
          <w:rFonts w:hint="eastAsia" w:ascii="黑体" w:hAnsi="黑体" w:eastAsia="黑体" w:cs="黑体"/>
          <w:lang w:eastAsia="zh-CN"/>
        </w:rPr>
      </w:pPr>
      <w:r>
        <w:rPr>
          <w:rFonts w:hint="eastAsia" w:ascii="黑体" w:hAnsi="黑体" w:eastAsia="黑体" w:cs="黑体"/>
          <w:color w:val="auto"/>
          <w:sz w:val="20"/>
          <w:szCs w:val="20"/>
          <w:lang w:val="en-US" w:eastAsia="zh-CN" w:bidi="ar-SA"/>
        </w:rPr>
        <w:t>图5 不同地区抽检占比情况</w:t>
      </w:r>
    </w:p>
    <w:p>
      <w:pPr>
        <w:keepNext w:val="0"/>
        <w:keepLines w:val="0"/>
        <w:pageBreakBefore w:val="0"/>
        <w:kinsoku/>
        <w:wordWrap/>
        <w:overflowPunct/>
        <w:topLinePunct w:val="0"/>
        <w:bidi w:val="0"/>
        <w:spacing w:line="594" w:lineRule="exact"/>
        <w:jc w:val="both"/>
        <w:outlineLvl w:val="0"/>
        <w:rPr>
          <w:rFonts w:hint="eastAsia" w:ascii="仿宋_GB2312" w:hAnsi="仿宋_GB2312" w:eastAsia="仿宋_GB2312" w:cs="仿宋_GB2312"/>
          <w:color w:val="000000"/>
          <w:kern w:val="0"/>
          <w:sz w:val="32"/>
          <w:szCs w:val="32"/>
          <w:lang w:val="en-US" w:eastAsia="zh-CN" w:bidi="ar-SA"/>
        </w:rPr>
      </w:pPr>
      <w:bookmarkStart w:id="2" w:name="_Toc15232"/>
      <w:r>
        <w:rPr>
          <w:rFonts w:hint="eastAsia" w:ascii="黑体" w:hAnsi="宋体" w:eastAsia="黑体"/>
          <w:sz w:val="32"/>
          <w:szCs w:val="32"/>
          <w:lang w:eastAsia="zh-CN"/>
        </w:rPr>
        <w:t>三、抽查结果反映的主要问题及其原因分析</w:t>
      </w:r>
      <w:bookmarkEnd w:id="2"/>
    </w:p>
    <w:p>
      <w:pPr>
        <w:pStyle w:val="6"/>
        <w:keepNext w:val="0"/>
        <w:keepLines w:val="0"/>
        <w:pageBreakBefore w:val="0"/>
        <w:widowControl w:val="0"/>
        <w:kinsoku/>
        <w:wordWrap/>
        <w:overflowPunct/>
        <w:topLinePunct w:val="0"/>
        <w:bidi w:val="0"/>
        <w:snapToGrid/>
        <w:spacing w:line="594" w:lineRule="exact"/>
        <w:ind w:left="0" w:leftChars="0" w:firstLine="0" w:firstLineChars="0"/>
        <w:rPr>
          <w:rFonts w:hint="eastAsia" w:hAnsi="仿宋_GB2312" w:cs="仿宋_GB2312"/>
          <w:color w:val="000000"/>
          <w:spacing w:val="4"/>
          <w:sz w:val="32"/>
          <w:szCs w:val="32"/>
          <w:highlight w:val="none"/>
          <w:lang w:val="en-US" w:eastAsia="zh-CN"/>
        </w:rPr>
      </w:pPr>
      <w:r>
        <w:rPr>
          <w:rFonts w:hint="eastAsia" w:ascii="仿宋_GB2312" w:hAnsi="仿宋_GB2312" w:eastAsia="仿宋_GB2312" w:cs="仿宋_GB2312"/>
          <w:sz w:val="32"/>
          <w:szCs w:val="32"/>
        </w:rPr>
        <w:t>（</w:t>
      </w:r>
      <w:r>
        <w:rPr>
          <w:rFonts w:hint="eastAsia" w:hAnsi="仿宋_GB2312" w:cs="仿宋_GB2312"/>
          <w:sz w:val="32"/>
          <w:szCs w:val="32"/>
          <w:lang w:eastAsia="zh-CN"/>
        </w:rPr>
        <w:t>一</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eastAsia="zh-CN"/>
        </w:rPr>
        <w:t>本次抽查产品检验项目及不合格项目情况</w:t>
      </w:r>
    </w:p>
    <w:p>
      <w:pPr>
        <w:pStyle w:val="6"/>
        <w:keepNext w:val="0"/>
        <w:keepLines w:val="0"/>
        <w:pageBreakBefore w:val="0"/>
        <w:widowControl w:val="0"/>
        <w:kinsoku/>
        <w:wordWrap/>
        <w:overflowPunct/>
        <w:topLinePunct w:val="0"/>
        <w:bidi w:val="0"/>
        <w:snapToGrid/>
        <w:spacing w:line="594" w:lineRule="exact"/>
        <w:ind w:firstLine="48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本次抽查不合格产品（项目）为：</w:t>
      </w:r>
      <w:r>
        <w:rPr>
          <w:rFonts w:hint="eastAsia" w:hAnsi="仿宋_GB2312" w:cs="仿宋_GB2312"/>
          <w:color w:val="000000"/>
          <w:spacing w:val="4"/>
          <w:sz w:val="32"/>
          <w:szCs w:val="32"/>
          <w:highlight w:val="none"/>
          <w:lang w:val="en-US" w:eastAsia="zh-CN"/>
        </w:rPr>
        <w:t>家用电器</w:t>
      </w:r>
      <w:r>
        <w:rPr>
          <w:rFonts w:hint="eastAsia" w:hAnsi="仿宋_GB2312" w:cs="仿宋_GB2312"/>
          <w:color w:val="000000"/>
          <w:spacing w:val="4"/>
          <w:sz w:val="32"/>
          <w:szCs w:val="32"/>
          <w:highlight w:val="none"/>
          <w:lang w:eastAsia="zh-CN"/>
        </w:rPr>
        <w:t>（</w:t>
      </w:r>
      <w:r>
        <w:rPr>
          <w:rFonts w:hint="eastAsia" w:ascii="仿宋_GB2312" w:hAnsi="仿宋_GB2312" w:eastAsia="仿宋_GB2312" w:cs="仿宋_GB2312"/>
          <w:color w:val="000000"/>
          <w:spacing w:val="4"/>
          <w:sz w:val="32"/>
          <w:szCs w:val="32"/>
          <w:highlight w:val="none"/>
          <w:lang w:eastAsia="zh-CN"/>
        </w:rPr>
        <w:t>结构</w:t>
      </w:r>
      <w:r>
        <w:rPr>
          <w:rFonts w:hint="eastAsia" w:hAnsi="仿宋_GB2312" w:cs="仿宋_GB2312"/>
          <w:color w:val="000000"/>
          <w:spacing w:val="4"/>
          <w:sz w:val="32"/>
          <w:szCs w:val="32"/>
          <w:highlight w:val="none"/>
          <w:lang w:eastAsia="zh-CN"/>
        </w:rPr>
        <w:t>、</w:t>
      </w:r>
      <w:r>
        <w:rPr>
          <w:rFonts w:hint="eastAsia" w:ascii="仿宋_GB2312" w:hAnsi="仿宋_GB2312" w:eastAsia="仿宋_GB2312" w:cs="仿宋_GB2312"/>
          <w:color w:val="000000"/>
          <w:spacing w:val="4"/>
          <w:sz w:val="32"/>
          <w:szCs w:val="32"/>
          <w:highlight w:val="none"/>
          <w:lang w:eastAsia="zh-CN"/>
        </w:rPr>
        <w:t>输入功率和电流</w:t>
      </w:r>
      <w:r>
        <w:rPr>
          <w:rFonts w:hint="eastAsia" w:hAnsi="仿宋_GB2312" w:cs="仿宋_GB2312"/>
          <w:color w:val="000000"/>
          <w:spacing w:val="4"/>
          <w:sz w:val="32"/>
          <w:szCs w:val="32"/>
          <w:highlight w:val="none"/>
          <w:lang w:eastAsia="zh-CN"/>
        </w:rPr>
        <w:t>、</w:t>
      </w:r>
      <w:r>
        <w:rPr>
          <w:rFonts w:hint="eastAsia" w:hAnsi="仿宋_GB2312" w:cs="仿宋_GB2312"/>
          <w:color w:val="000000"/>
          <w:spacing w:val="4"/>
          <w:sz w:val="32"/>
          <w:szCs w:val="32"/>
          <w:highlight w:val="none"/>
          <w:lang w:val="en-US" w:eastAsia="zh-CN"/>
        </w:rPr>
        <w:t>稳定性和机械危险、机械强度、电源连接和外部软线</w:t>
      </w:r>
      <w:r>
        <w:rPr>
          <w:rFonts w:hint="eastAsia" w:hAnsi="仿宋_GB2312" w:cs="仿宋_GB2312"/>
          <w:color w:val="000000"/>
          <w:spacing w:val="4"/>
          <w:sz w:val="32"/>
          <w:szCs w:val="32"/>
          <w:highlight w:val="none"/>
          <w:lang w:eastAsia="zh-CN"/>
        </w:rPr>
        <w:t>）、信息技术设备（抗电强度、发热要求（耐异常热））、</w:t>
      </w:r>
      <w:r>
        <w:rPr>
          <w:rFonts w:hint="eastAsia" w:ascii="仿宋_GB2312" w:hAnsi="仿宋_GB2312" w:eastAsia="仿宋_GB2312" w:cs="仿宋_GB2312"/>
          <w:color w:val="000000"/>
          <w:sz w:val="32"/>
          <w:szCs w:val="32"/>
          <w:highlight w:val="none"/>
          <w:lang w:val="en-US" w:eastAsia="zh-CN" w:bidi="ar-SA"/>
        </w:rPr>
        <w:t>旅行箱包</w:t>
      </w:r>
      <w:r>
        <w:rPr>
          <w:rFonts w:hint="eastAsia" w:hAnsi="仿宋_GB2312" w:cs="仿宋_GB2312"/>
          <w:color w:val="000000"/>
          <w:spacing w:val="4"/>
          <w:sz w:val="32"/>
          <w:szCs w:val="32"/>
          <w:highlight w:val="none"/>
          <w:lang w:val="en-US" w:eastAsia="zh-CN"/>
        </w:rPr>
        <w:t>（振荡冲击性能）、拖鞋（标识），</w:t>
      </w:r>
      <w:r>
        <w:rPr>
          <w:rFonts w:hint="eastAsia" w:ascii="仿宋_GB2312" w:hAnsi="仿宋_GB2312" w:eastAsia="仿宋_GB2312" w:cs="仿宋_GB2312"/>
          <w:color w:val="000000"/>
          <w:kern w:val="0"/>
          <w:sz w:val="32"/>
          <w:szCs w:val="32"/>
          <w:lang w:val="en-US" w:eastAsia="zh-CN" w:bidi="ar-SA"/>
        </w:rPr>
        <w:t>具体如下（见表4）：</w:t>
      </w:r>
    </w:p>
    <w:p>
      <w:pPr>
        <w:pStyle w:val="10"/>
        <w:keepNext w:val="0"/>
        <w:keepLines w:val="0"/>
        <w:pageBreakBefore w:val="0"/>
        <w:kinsoku/>
        <w:wordWrap/>
        <w:overflowPunct/>
        <w:topLinePunct w:val="0"/>
        <w:bidi w:val="0"/>
        <w:spacing w:line="594" w:lineRule="exact"/>
        <w:ind w:firstLineChars="210"/>
        <w:jc w:val="center"/>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auto"/>
          <w:spacing w:val="-4"/>
          <w:sz w:val="20"/>
          <w:szCs w:val="20"/>
        </w:rPr>
        <w:t>表</w:t>
      </w:r>
      <w:r>
        <w:rPr>
          <w:rFonts w:hint="eastAsia" w:ascii="黑体" w:hAnsi="黑体" w:eastAsia="黑体" w:cs="黑体"/>
          <w:color w:val="auto"/>
          <w:spacing w:val="-4"/>
          <w:sz w:val="20"/>
          <w:szCs w:val="20"/>
          <w:lang w:val="en-US" w:eastAsia="zh-CN"/>
        </w:rPr>
        <w:t xml:space="preserve">4 </w:t>
      </w:r>
      <w:r>
        <w:rPr>
          <w:rFonts w:hint="eastAsia" w:ascii="黑体" w:hAnsi="黑体" w:eastAsia="黑体" w:cs="黑体"/>
          <w:color w:val="auto"/>
          <w:spacing w:val="-4"/>
          <w:sz w:val="20"/>
          <w:szCs w:val="20"/>
          <w:lang w:eastAsia="zh-CN"/>
        </w:rPr>
        <w:t>产品检验项目及不合格项目</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0"/>
        <w:gridCol w:w="1284"/>
        <w:gridCol w:w="4750"/>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5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28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检验项目</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本次共发现的不合格项目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5" w:hRule="atLeast"/>
          <w:jc w:val="center"/>
        </w:trPr>
        <w:tc>
          <w:tcPr>
            <w:tcW w:w="5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8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家用电器</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标志和说明、对触及带电部件的防护、输入功率和电流、工作温度下的泄漏电流和电气强度、稳定性和机械危险、机械强度、结构、内部布线、电源连接和外部软线、接地措施</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结构、输入功率和电流、稳定性和机械危险、机械强度、电源连接和外部软线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5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8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信息技术设备</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标记和说明、机械强度、抗电强度、与电网电源的连接、与电网电源的断开、结构设计、发热要求（耐异常热）</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抗电强度、发热要求（耐异常热）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5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28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旅行箱包</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外观质量、拉杆耐疲劳性能、振荡冲击性能、跌落性能、硬箱箱体耐静压性能、塑料硬箱箱面耐落球冲击性能</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振荡冲击性能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1" w:hRule="atLeast"/>
          <w:jc w:val="center"/>
        </w:trPr>
        <w:tc>
          <w:tcPr>
            <w:tcW w:w="5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28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拖鞋</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标识、感官质量、帮底剥离强度、外底耐磨性能、衬里和内垫耐摩擦色牢度</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标识</w:t>
            </w:r>
          </w:p>
        </w:tc>
      </w:tr>
    </w:tbl>
    <w:p>
      <w:pPr>
        <w:pStyle w:val="6"/>
        <w:keepNext w:val="0"/>
        <w:keepLines w:val="0"/>
        <w:pageBreakBefore w:val="0"/>
        <w:widowControl w:val="0"/>
        <w:kinsoku/>
        <w:wordWrap/>
        <w:overflowPunct/>
        <w:topLinePunct w:val="0"/>
        <w:bidi w:val="0"/>
        <w:snapToGrid/>
        <w:spacing w:line="594"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hAnsi="仿宋_GB2312" w:cs="仿宋_GB2312"/>
          <w:sz w:val="32"/>
          <w:szCs w:val="32"/>
          <w:lang w:eastAsia="zh-CN"/>
        </w:rPr>
        <w:t>二</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eastAsia="zh-CN"/>
        </w:rPr>
        <w:t>不合格项目原因分析及影响</w:t>
      </w:r>
    </w:p>
    <w:p>
      <w:pPr>
        <w:pStyle w:val="11"/>
        <w:ind w:firstLine="576"/>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1、家用电器</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1.1结构</w:t>
      </w:r>
    </w:p>
    <w:p>
      <w:pPr>
        <w:pStyle w:val="11"/>
        <w:spacing w:line="360"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不合格的原因：部分企业对产品标准不了解，产品结构设计不合理，产品质量把控不严，虚标产品参数。</w:t>
      </w:r>
    </w:p>
    <w:p>
      <w:pPr>
        <w:pStyle w:val="11"/>
        <w:spacing w:line="360"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不合格项目带来的危害：产品结构上设计的缺陷，会导致产品内部短路，绝缘被击穿，存在导致意外触电的风险。</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1.2输入功率和电流</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不合格的原因：未严格按照国家相关标准的规定值生产，生产企业虚标产品额定功率。</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ind w:leftChars="200" w:firstLine="320" w:firstLineChars="1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国家标准规定：家用电器的输入功率应符合国家相关标准的规定值。其目的是让使用者能按其明示的功率正确的配用电源。输入功率偏差大于标准的上偏差可能会造成消费者在使用该电热器具时电源过载，有着火的危险。而输入功率偏差小于标准的下偏差可能使该电热器具不能达到正常使用效果。</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1.3稳定性和机械危险</w:t>
      </w:r>
    </w:p>
    <w:p>
      <w:pPr>
        <w:pStyle w:val="7"/>
        <w:keepNext w:val="0"/>
        <w:keepLines w:val="0"/>
        <w:widowControl/>
        <w:numPr>
          <w:ilvl w:val="0"/>
          <w:numId w:val="0"/>
        </w:numPr>
        <w:suppressLineNumbers w:val="0"/>
        <w:spacing w:before="0" w:beforeAutospacing="0" w:after="0" w:afterAutospacing="0"/>
        <w:ind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不合格的原因：试验探棒能触及内部部件或防护部件可拆卸。</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不合格项目带来的危害：器具的保护性外壳机械强度不合格，可能使带电部件裸露，有触电的危险。</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1.4机械强度</w:t>
      </w:r>
    </w:p>
    <w:p>
      <w:pPr>
        <w:pStyle w:val="7"/>
        <w:keepNext w:val="0"/>
        <w:keepLines w:val="0"/>
        <w:widowControl/>
        <w:numPr>
          <w:ilvl w:val="0"/>
          <w:numId w:val="0"/>
        </w:numPr>
        <w:suppressLineNumbers w:val="0"/>
        <w:spacing w:before="0" w:beforeAutospacing="0" w:after="0" w:afterAutospacing="0"/>
        <w:ind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不合格的原因：主要是由于生产厂家为了降低生产成本，产品用料</w:t>
      </w:r>
      <w:r>
        <w:rPr>
          <w:rFonts w:hint="default" w:ascii="仿宋_GB2312" w:hAnsi="仿宋_GB2312" w:eastAsia="仿宋_GB2312" w:cs="仿宋_GB2312"/>
          <w:color w:val="000000"/>
          <w:kern w:val="0"/>
          <w:sz w:val="32"/>
          <w:szCs w:val="32"/>
          <w:lang w:val="en-US" w:eastAsia="zh-CN" w:bidi="ar-SA"/>
        </w:rPr>
        <w:t>过薄或者使用的材料强度不满足要求；</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不合格项目带来的危害：该项目不合格表现在外壳材料强度不达标，易造成器具外壳破损，导致触电、火灾等安全隐患。</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宋体" w:hAnsi="宋体" w:eastAsia="宋体" w:cs="宋体"/>
          <w:i w:val="0"/>
          <w:iCs w:val="0"/>
          <w:color w:val="000000"/>
          <w:kern w:val="0"/>
          <w:sz w:val="18"/>
          <w:szCs w:val="18"/>
          <w:u w:val="none"/>
          <w:lang w:val="en-US" w:eastAsia="zh-CN" w:bidi="ar"/>
        </w:rPr>
      </w:pPr>
      <w:r>
        <w:rPr>
          <w:rFonts w:hint="eastAsia" w:ascii="仿宋_GB2312" w:hAnsi="仿宋_GB2312" w:eastAsia="仿宋_GB2312" w:cs="仿宋_GB2312"/>
          <w:color w:val="000000"/>
          <w:kern w:val="0"/>
          <w:sz w:val="32"/>
          <w:szCs w:val="32"/>
          <w:lang w:val="en-US" w:eastAsia="zh-CN" w:bidi="ar-SA"/>
        </w:rPr>
        <w:t>1.5电源连接和外部软线</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w:t>
      </w:r>
      <w:r>
        <w:rPr>
          <w:rFonts w:hint="eastAsia" w:ascii="仿宋_GB2312" w:hAnsi="仿宋" w:eastAsia="仿宋_GB2312" w:cs="Times New Roman"/>
          <w:color w:val="000000"/>
          <w:kern w:val="2"/>
          <w:sz w:val="32"/>
          <w:szCs w:val="32"/>
          <w:highlight w:val="none"/>
          <w:lang w:val="en-US" w:eastAsia="zh-CN" w:bidi="ar-SA"/>
        </w:rPr>
        <w:t>生产企业使用的电源线截面积达不到标准要求。</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不合格项目带来的危害：电源线线径远小于标准规定值,电源线线径过细会引起电源线发热，进而使得电源线的绝缘热熔，消费者在使用该商品时有发生触电的危险，并且可能由此引起火灾。</w:t>
      </w:r>
    </w:p>
    <w:p>
      <w:pPr>
        <w:pStyle w:val="11"/>
        <w:ind w:firstLine="576"/>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2、信息技术设备</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2.1抗电强度</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不合格的原因：主要不合格表现为样品在耐压测试中绝缘被击穿。</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不合格项目带来的危害：若该项目不合格，</w:t>
      </w:r>
      <w:r>
        <w:rPr>
          <w:rFonts w:hint="default" w:ascii="仿宋_GB2312" w:hAnsi="仿宋_GB2312" w:eastAsia="仿宋_GB2312" w:cs="仿宋_GB2312"/>
          <w:color w:val="000000"/>
          <w:kern w:val="0"/>
          <w:sz w:val="32"/>
          <w:szCs w:val="32"/>
          <w:lang w:val="en-US" w:eastAsia="zh-CN" w:bidi="ar-SA"/>
        </w:rPr>
        <w:t>设备在使用期间就有可能因绝缘被击穿从而带来电击危险。</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2.2发热要求（耐异常热）</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该项目不合格主要是发热要求项目中的二级项目耐异常热项目不合格。耐异常热项目主要考核产品直接安装上带危险电压零部件的热塑性塑料件的耐异常热性能，该项不合格是因为塑料部件的材质不符合要求。</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耐异常热不合格的充电器产品在使用过程中会出现因为与插座插套接触不良发热、自身发热等情况而使其外壳承受大量的热量，引起外壳逐渐变软和融化，机械强度下降，绝缘失效，可能造成带电部件移位，导致短路、电气间隙和爬电距离减小等现象</w:t>
      </w:r>
      <w:r>
        <w:rPr>
          <w:rFonts w:hint="default" w:ascii="仿宋_GB2312" w:hAnsi="仿宋_GB2312" w:eastAsia="仿宋_GB2312" w:cs="仿宋_GB2312"/>
          <w:color w:val="000000"/>
          <w:kern w:val="0"/>
          <w:sz w:val="32"/>
          <w:szCs w:val="32"/>
          <w:lang w:val="en-US" w:eastAsia="zh-CN" w:bidi="ar-SA"/>
        </w:rPr>
        <w:t>从而发生触电事故。</w:t>
      </w:r>
    </w:p>
    <w:p>
      <w:pPr>
        <w:pStyle w:val="11"/>
        <w:ind w:firstLine="576"/>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3、旅行箱包</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3.1振荡冲击性能</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一是设计不合理，没有充分考虑产品的强度要求，导致产品提把部位的强度不足，如背带、提把等部件与行李箱连接处的缝合不牢固，；二是材料及装配质量不过关，箱体或提把承受不了剧烈的冲击拉伸。</w:t>
      </w:r>
    </w:p>
    <w:p>
      <w:pPr>
        <w:pStyle w:val="7"/>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不合格项目带来的危害：振荡冲击性能不合格，不仅容易导致旅行箱包无法正常使用，还会存在一定的财产安全隐患。</w:t>
      </w:r>
    </w:p>
    <w:p>
      <w:pPr>
        <w:pStyle w:val="11"/>
        <w:ind w:firstLine="576"/>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4、拖鞋</w:t>
      </w:r>
    </w:p>
    <w:p>
      <w:pPr>
        <w:pStyle w:val="11"/>
        <w:ind w:firstLine="576"/>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4.1</w:t>
      </w:r>
      <w:r>
        <w:rPr>
          <w:rFonts w:hint="eastAsia" w:ascii="仿宋_GB2312" w:hAnsi="仿宋_GB2312" w:eastAsia="仿宋_GB2312" w:cs="仿宋_GB2312"/>
          <w:color w:val="auto"/>
          <w:kern w:val="0"/>
          <w:sz w:val="32"/>
          <w:szCs w:val="32"/>
          <w:lang w:val="en-US" w:eastAsia="zh-CN" w:bidi="ar-SA"/>
        </w:rPr>
        <w:t>标识</w:t>
      </w:r>
    </w:p>
    <w:p>
      <w:pPr>
        <w:pStyle w:val="11"/>
        <w:ind w:firstLine="576"/>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不合格的原因：可能是生产企业对标志标识问题重视不足,没有清晰了解产品标准对标志标识的要求,未按要求在产品及包装上标出相关的法定内容。</w:t>
      </w:r>
    </w:p>
    <w:p>
      <w:pPr>
        <w:pStyle w:val="11"/>
        <w:ind w:firstLine="576"/>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不合格项目带来的危害：不能令消费者清晰的了解该产品，从而误导消费者，存在欺骗消费者的嫌疑。</w:t>
      </w:r>
    </w:p>
    <w:p>
      <w:pPr>
        <w:keepNext w:val="0"/>
        <w:keepLines w:val="0"/>
        <w:pageBreakBefore w:val="0"/>
        <w:numPr>
          <w:ilvl w:val="0"/>
          <w:numId w:val="1"/>
        </w:numPr>
        <w:kinsoku/>
        <w:wordWrap/>
        <w:overflowPunct/>
        <w:topLinePunct w:val="0"/>
        <w:bidi w:val="0"/>
        <w:spacing w:line="594" w:lineRule="exact"/>
        <w:jc w:val="both"/>
        <w:outlineLvl w:val="0"/>
        <w:rPr>
          <w:rFonts w:hint="eastAsia" w:ascii="黑体" w:hAnsi="宋体" w:eastAsia="黑体" w:cs="宋体"/>
          <w:color w:val="231F20"/>
          <w:sz w:val="32"/>
          <w:szCs w:val="32"/>
        </w:rPr>
      </w:pPr>
      <w:bookmarkStart w:id="3" w:name="_Toc8073"/>
      <w:r>
        <w:rPr>
          <w:rFonts w:hint="eastAsia" w:ascii="黑体" w:hAnsi="宋体" w:eastAsia="黑体"/>
          <w:sz w:val="32"/>
          <w:szCs w:val="32"/>
          <w:lang w:eastAsia="zh-CN"/>
        </w:rPr>
        <w:t>消费提示</w:t>
      </w:r>
      <w:bookmarkEnd w:id="3"/>
    </w:p>
    <w:p>
      <w:pPr>
        <w:keepNext w:val="0"/>
        <w:keepLines w:val="0"/>
        <w:pageBreakBefore w:val="0"/>
        <w:numPr>
          <w:ilvl w:val="0"/>
          <w:numId w:val="2"/>
        </w:numPr>
        <w:kinsoku/>
        <w:wordWrap/>
        <w:overflowPunct/>
        <w:topLinePunct w:val="0"/>
        <w:bidi w:val="0"/>
        <w:snapToGrid/>
        <w:spacing w:line="594" w:lineRule="exact"/>
        <w:jc w:val="both"/>
        <w:rPr>
          <w:rFonts w:hint="eastAsia" w:ascii="楷体" w:hAnsi="楷体" w:eastAsia="楷体" w:cs="楷体"/>
          <w:color w:val="000000"/>
          <w:sz w:val="32"/>
          <w:szCs w:val="32"/>
          <w:lang w:val="en-US" w:eastAsia="zh-CN"/>
        </w:rPr>
      </w:pPr>
      <w:r>
        <w:rPr>
          <w:rFonts w:hint="eastAsia" w:ascii="仿宋_GB2312" w:hAnsi="仿宋_GB2312" w:eastAsia="仿宋_GB2312" w:cs="仿宋_GB2312"/>
          <w:color w:val="000000"/>
          <w:sz w:val="32"/>
          <w:szCs w:val="32"/>
          <w:highlight w:val="none"/>
          <w:lang w:val="en-US" w:eastAsia="zh-CN" w:bidi="ar-SA"/>
        </w:rPr>
        <w:t>玩具</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首先看玩具的材料，材料要干净，没有杂质。其次看质量，玩具使用的木材等级高低不一，这也是玩具价格高低的一个重要决定因素。木制玩具需上色均匀，没有细碎木屑脱落，如果有毛刺会划伤宝宝的手指。</w:t>
      </w:r>
    </w:p>
    <w:p>
      <w:pPr>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2、不要选购无经营资质和“三无”产品，这类玩具不仅质量无法保证，一旦发生伤害事故也难以维权。</w:t>
      </w:r>
    </w:p>
    <w:p>
      <w:pPr>
        <w:keepNext w:val="0"/>
        <w:keepLines w:val="0"/>
        <w:pageBreakBefore w:val="0"/>
        <w:numPr>
          <w:ilvl w:val="0"/>
          <w:numId w:val="2"/>
        </w:numPr>
        <w:kinsoku/>
        <w:wordWrap/>
        <w:overflowPunct/>
        <w:topLinePunct w:val="0"/>
        <w:bidi w:val="0"/>
        <w:snapToGrid/>
        <w:spacing w:line="594" w:lineRule="exact"/>
        <w:jc w:val="both"/>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电玩具</w:t>
      </w:r>
    </w:p>
    <w:p>
      <w:pPr>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1、当电玩具长期不玩耍时，应取出电池，防止电池腐烂。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2、保管好电池，儿童不小心吞下电池会在体内平顺移动，如果停留在食道会造成组织损伤；如果被吞食的电池还有电量，它还会因含有电流而导致体内烧伤。</w:t>
      </w:r>
    </w:p>
    <w:p>
      <w:pPr>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选购前仔细阅读警示语。玩具对使用者的限制应当至少包括使用者的最小年龄限制；适用时，还应包括使用者的能力、最小或最大体重、以及需要确保玩具仅在成人监护下使用，选择适合您自己孩子的玩具产品。</w:t>
      </w:r>
    </w:p>
    <w:p>
      <w:pPr>
        <w:keepNext w:val="0"/>
        <w:keepLines w:val="0"/>
        <w:pageBreakBefore w:val="0"/>
        <w:numPr>
          <w:ilvl w:val="0"/>
          <w:numId w:val="2"/>
        </w:numPr>
        <w:kinsoku/>
        <w:wordWrap/>
        <w:overflowPunct/>
        <w:topLinePunct w:val="0"/>
        <w:bidi w:val="0"/>
        <w:snapToGrid/>
        <w:spacing w:line="594" w:lineRule="exact"/>
        <w:jc w:val="both"/>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家用电器</w:t>
      </w:r>
    </w:p>
    <w:p>
      <w:pPr>
        <w:pStyle w:val="2"/>
        <w:keepNext w:val="0"/>
        <w:keepLines w:val="0"/>
        <w:pageBreakBefore w:val="0"/>
        <w:widowControl w:val="0"/>
        <w:kinsoku/>
        <w:wordWrap/>
        <w:overflowPunct/>
        <w:topLinePunct w:val="0"/>
        <w:autoSpaceDE w:val="0"/>
        <w:autoSpaceDN w:val="0"/>
        <w:bidi w:val="0"/>
        <w:adjustRightInd w:val="0"/>
        <w:snapToGrid/>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1、建议用户在选购小家电产品时，应到正规的销售渠道（大型商场、专卖店等）购买。在购买时应查看产品是否有3C认证标志，以及是否标注生产厂家名称或商标、规格型号、额定电流、生产日期等信息内容。</w:t>
      </w:r>
    </w:p>
    <w:p>
      <w:pPr>
        <w:pStyle w:val="2"/>
        <w:keepNext w:val="0"/>
        <w:keepLines w:val="0"/>
        <w:pageBreakBefore w:val="0"/>
        <w:widowControl w:val="0"/>
        <w:kinsoku/>
        <w:wordWrap/>
        <w:overflowPunct/>
        <w:topLinePunct w:val="0"/>
        <w:autoSpaceDE w:val="0"/>
        <w:autoSpaceDN w:val="0"/>
        <w:bidi w:val="0"/>
        <w:adjustRightInd w:val="0"/>
        <w:snapToGrid/>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2、购买时，需经销商提供产品质量检测报告以及购买发票，也可以通过CQC网站查询该生产企业是否通过了3C认证。</w:t>
      </w:r>
    </w:p>
    <w:p>
      <w:pPr>
        <w:pStyle w:val="2"/>
        <w:keepNext w:val="0"/>
        <w:keepLines w:val="0"/>
        <w:pageBreakBefore w:val="0"/>
        <w:widowControl w:val="0"/>
        <w:kinsoku/>
        <w:wordWrap/>
        <w:overflowPunct/>
        <w:topLinePunct w:val="0"/>
        <w:autoSpaceDE w:val="0"/>
        <w:autoSpaceDN w:val="0"/>
        <w:bidi w:val="0"/>
        <w:adjustRightInd w:val="0"/>
        <w:snapToGrid/>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3、使用前，应仔细阅读产品“使用说明书”，特别应注意产品的输入功率（或电流）是否低于电源插座所能承受的负载；是否明确了在使用时必须注意的事项和条件。</w:t>
      </w:r>
    </w:p>
    <w:p>
      <w:pPr>
        <w:pStyle w:val="2"/>
        <w:keepNext w:val="0"/>
        <w:keepLines w:val="0"/>
        <w:pageBreakBefore w:val="0"/>
        <w:widowControl w:val="0"/>
        <w:kinsoku/>
        <w:wordWrap/>
        <w:overflowPunct/>
        <w:topLinePunct w:val="0"/>
        <w:autoSpaceDE w:val="0"/>
        <w:autoSpaceDN w:val="0"/>
        <w:bidi w:val="0"/>
        <w:adjustRightInd w:val="0"/>
        <w:snapToGrid/>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4、在采购过程中，应选用信誉度、口碑等都比较好的企业生产的产品，不要片面追求价格便宜。</w:t>
      </w:r>
    </w:p>
    <w:p>
      <w:pPr>
        <w:keepNext w:val="0"/>
        <w:keepLines w:val="0"/>
        <w:pageBreakBefore w:val="0"/>
        <w:numPr>
          <w:ilvl w:val="0"/>
          <w:numId w:val="2"/>
        </w:numPr>
        <w:kinsoku/>
        <w:wordWrap/>
        <w:overflowPunct/>
        <w:topLinePunct w:val="0"/>
        <w:bidi w:val="0"/>
        <w:snapToGrid/>
        <w:spacing w:line="594" w:lineRule="exact"/>
        <w:jc w:val="both"/>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食品接触用产品</w:t>
      </w:r>
    </w:p>
    <w:p>
      <w:pPr>
        <w:pStyle w:val="2"/>
        <w:keepNext w:val="0"/>
        <w:keepLines w:val="0"/>
        <w:pageBreakBefore w:val="0"/>
        <w:widowControl w:val="0"/>
        <w:kinsoku/>
        <w:wordWrap/>
        <w:overflowPunct/>
        <w:topLinePunct w:val="0"/>
        <w:autoSpaceDE w:val="0"/>
        <w:autoSpaceDN w:val="0"/>
        <w:bidi w:val="0"/>
        <w:adjustRightInd w:val="0"/>
        <w:snapToGrid/>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1、纸类餐饮具产品属于食品相关产品许可证管理产品，选购时首先查看外包装或者标签上是否有QS标志，并且根据我国食品安全国家标准的要求，食品相关产品需标识产品名称，材质，生产者和（或）经销者的名称、地址和联系方式，生产日期和保质期等内容。</w:t>
      </w:r>
    </w:p>
    <w:p>
      <w:pPr>
        <w:pStyle w:val="2"/>
        <w:keepNext w:val="0"/>
        <w:keepLines w:val="0"/>
        <w:pageBreakBefore w:val="0"/>
        <w:widowControl w:val="0"/>
        <w:kinsoku/>
        <w:wordWrap/>
        <w:overflowPunct/>
        <w:topLinePunct w:val="0"/>
        <w:autoSpaceDE w:val="0"/>
        <w:autoSpaceDN w:val="0"/>
        <w:bidi w:val="0"/>
        <w:adjustRightInd w:val="0"/>
        <w:snapToGrid/>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2、质量好的纸杯、纸碗，一般包装封口完整、字迹印刷清晰、纸杯内外表面及杯口杯底处洁净、无污渍、轻捏纸杯不会过软变形、轻闻纸杯没有异味。</w:t>
      </w:r>
    </w:p>
    <w:p>
      <w:pPr>
        <w:pStyle w:val="2"/>
        <w:keepNext w:val="0"/>
        <w:keepLines w:val="0"/>
        <w:pageBreakBefore w:val="0"/>
        <w:widowControl w:val="0"/>
        <w:kinsoku/>
        <w:wordWrap/>
        <w:overflowPunct/>
        <w:topLinePunct w:val="0"/>
        <w:autoSpaceDE w:val="0"/>
        <w:autoSpaceDN w:val="0"/>
        <w:bidi w:val="0"/>
        <w:adjustRightInd w:val="0"/>
        <w:snapToGrid/>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3、根据我国现行标准GB/T 27590-2011，对于纸杯（除冰淇淋杯外）还要求杯口距杯身15mm内、杯底距杯身10mm内不应有印刷。</w:t>
      </w:r>
    </w:p>
    <w:p>
      <w:pPr>
        <w:keepNext w:val="0"/>
        <w:keepLines w:val="0"/>
        <w:pageBreakBefore w:val="0"/>
        <w:numPr>
          <w:ilvl w:val="0"/>
          <w:numId w:val="2"/>
        </w:numPr>
        <w:kinsoku/>
        <w:wordWrap/>
        <w:overflowPunct/>
        <w:topLinePunct w:val="0"/>
        <w:bidi w:val="0"/>
        <w:snapToGrid/>
        <w:spacing w:line="594" w:lineRule="exact"/>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信息技术设备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80" w:lineRule="atLeast"/>
        <w:ind w:right="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default" w:ascii="仿宋_GB2312" w:hAnsi="仿宋_GB2312" w:eastAsia="仿宋_GB2312" w:cs="仿宋_GB2312"/>
          <w:color w:val="000000"/>
          <w:kern w:val="2"/>
          <w:sz w:val="32"/>
          <w:szCs w:val="32"/>
          <w:highlight w:val="none"/>
          <w:lang w:val="en-US" w:eastAsia="zh-CN" w:bidi="ar-SA"/>
        </w:rPr>
        <w:t>1、购买</w:t>
      </w:r>
      <w:r>
        <w:rPr>
          <w:rFonts w:hint="eastAsia" w:ascii="仿宋_GB2312" w:hAnsi="仿宋_GB2312" w:eastAsia="仿宋_GB2312" w:cs="仿宋_GB2312"/>
          <w:color w:val="000000"/>
          <w:kern w:val="2"/>
          <w:sz w:val="32"/>
          <w:szCs w:val="32"/>
          <w:highlight w:val="none"/>
          <w:lang w:val="en-US" w:eastAsia="zh-CN" w:bidi="ar-SA"/>
        </w:rPr>
        <w:t>信息技术设备产品</w:t>
      </w:r>
      <w:r>
        <w:rPr>
          <w:rFonts w:hint="default" w:ascii="仿宋_GB2312" w:hAnsi="仿宋_GB2312" w:eastAsia="仿宋_GB2312" w:cs="仿宋_GB2312"/>
          <w:color w:val="000000"/>
          <w:kern w:val="2"/>
          <w:sz w:val="32"/>
          <w:szCs w:val="32"/>
          <w:highlight w:val="none"/>
          <w:lang w:val="en-US" w:eastAsia="zh-CN" w:bidi="ar-SA"/>
        </w:rPr>
        <w:t>时应检查产品合格证、使用说明、产品标识是否规范齐全。合格证要有产地、厂名或商标、型号或名称、出厂日期、检验员工号等信息；产品使用说明书应标明产品的使用、安装、保养办法，并附质保书；产品应具备3C认证和进网许可证标记，标志应该清晰、明显。同时购买时还应索取发票，以便发生质量纠纷时能提供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spacing w:before="0" w:beforeAutospacing="0" w:after="0" w:afterAutospacing="0" w:line="480" w:lineRule="atLeast"/>
        <w:ind w:right="0" w:firstLine="640" w:firstLineChars="200"/>
        <w:textAlignment w:val="auto"/>
        <w:rPr>
          <w:rFonts w:hint="default" w:ascii="仿宋_GB2312" w:hAnsi="仿宋_GB2312" w:eastAsia="仿宋_GB2312" w:cs="仿宋_GB2312"/>
          <w:color w:val="000000"/>
          <w:kern w:val="2"/>
          <w:sz w:val="32"/>
          <w:szCs w:val="32"/>
          <w:highlight w:val="none"/>
          <w:lang w:val="en-US" w:eastAsia="zh-CN" w:bidi="ar-SA"/>
        </w:rPr>
      </w:pPr>
      <w:r>
        <w:rPr>
          <w:rFonts w:hint="default" w:ascii="仿宋_GB2312" w:hAnsi="仿宋_GB2312" w:eastAsia="仿宋_GB2312" w:cs="仿宋_GB2312"/>
          <w:color w:val="000000"/>
          <w:kern w:val="2"/>
          <w:sz w:val="32"/>
          <w:szCs w:val="32"/>
          <w:highlight w:val="none"/>
          <w:lang w:val="en-US" w:eastAsia="zh-CN" w:bidi="ar-SA"/>
        </w:rPr>
        <w:t>2、购买</w:t>
      </w:r>
      <w:r>
        <w:rPr>
          <w:rFonts w:hint="eastAsia" w:ascii="仿宋_GB2312" w:hAnsi="仿宋_GB2312" w:eastAsia="仿宋_GB2312" w:cs="仿宋_GB2312"/>
          <w:color w:val="000000"/>
          <w:kern w:val="2"/>
          <w:sz w:val="32"/>
          <w:szCs w:val="32"/>
          <w:highlight w:val="none"/>
          <w:lang w:val="en-US" w:eastAsia="zh-CN" w:bidi="ar-SA"/>
        </w:rPr>
        <w:t>时</w:t>
      </w:r>
      <w:r>
        <w:rPr>
          <w:rFonts w:hint="default" w:ascii="仿宋_GB2312" w:hAnsi="仿宋_GB2312" w:eastAsia="仿宋_GB2312" w:cs="仿宋_GB2312"/>
          <w:color w:val="000000"/>
          <w:kern w:val="2"/>
          <w:sz w:val="32"/>
          <w:szCs w:val="32"/>
          <w:highlight w:val="none"/>
          <w:lang w:val="en-US" w:eastAsia="zh-CN" w:bidi="ar-SA"/>
        </w:rPr>
        <w:t>应检查其外观。机身表面应该颜色均匀、光洁平整，不应存在明显的缺陷，如：杂色、凹陷、气泡、污渍、裂纹、肿胀、缺胶、变形、刮伤、缩水等现象；可视金属构件应无毛刺、裂痕、腐蚀痕迹、生锈等缺陷；屏幕点亮后不应出现白线或明显的闪点。</w:t>
      </w:r>
    </w:p>
    <w:p>
      <w:pPr>
        <w:keepNext w:val="0"/>
        <w:keepLines w:val="0"/>
        <w:pageBreakBefore w:val="0"/>
        <w:numPr>
          <w:ilvl w:val="0"/>
          <w:numId w:val="2"/>
        </w:numPr>
        <w:kinsoku/>
        <w:wordWrap/>
        <w:overflowPunct/>
        <w:topLinePunct w:val="0"/>
        <w:bidi w:val="0"/>
        <w:snapToGrid/>
        <w:spacing w:line="594" w:lineRule="exact"/>
        <w:jc w:val="both"/>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鞋类产品</w:t>
      </w:r>
      <w:bookmarkStart w:id="4" w:name="_Toc4417"/>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default" w:ascii="仿宋_GB2312" w:hAnsi="仿宋_GB2312" w:eastAsia="仿宋_GB2312" w:cs="仿宋_GB2312"/>
          <w:color w:val="000000"/>
          <w:kern w:val="2"/>
          <w:sz w:val="32"/>
          <w:szCs w:val="32"/>
          <w:highlight w:val="none"/>
          <w:lang w:val="en-US" w:eastAsia="zh-CN" w:bidi="ar-SA"/>
        </w:rPr>
        <w:t>标志是反映鞋类商品信息及企业信息的方式。根据标准要求，鞋类商品包装应标志商品信息及企业信息，内容包括：执行标准、鞋号、货号、型号、等级、厂名厂址、主要鞋帮材料名称等项目。标准中要求对材质进行标注，鞋应该在（鞋盒）明显位置产品名称一栏中标出鞋帮材料（单一使用面革材料的必须注明鞋帮材料是何种天然革、二层革或合成革、人造革，天然皮革与其他材料混用或天然皮革之间混用的应标明天然皮革与其他材料混用或不同天然皮革之间混用）。其他皮革制品标准中也规定，在产品标签上必须标志出</w:t>
      </w:r>
      <w:r>
        <w:rPr>
          <w:rFonts w:hint="eastAsia" w:ascii="仿宋_GB2312" w:hAnsi="仿宋_GB2312" w:eastAsia="仿宋_GB2312" w:cs="仿宋_GB2312"/>
          <w:color w:val="000000"/>
          <w:kern w:val="2"/>
          <w:sz w:val="32"/>
          <w:szCs w:val="32"/>
          <w:highlight w:val="none"/>
          <w:lang w:val="en-US" w:eastAsia="zh-CN" w:bidi="ar-SA"/>
        </w:rPr>
        <w:fldChar w:fldCharType="begin"/>
      </w:r>
      <w:r>
        <w:rPr>
          <w:rFonts w:hint="eastAsia" w:ascii="仿宋_GB2312" w:hAnsi="仿宋_GB2312" w:eastAsia="仿宋_GB2312" w:cs="仿宋_GB2312"/>
          <w:color w:val="000000"/>
          <w:kern w:val="2"/>
          <w:sz w:val="32"/>
          <w:szCs w:val="32"/>
          <w:highlight w:val="none"/>
          <w:lang w:val="en-US" w:eastAsia="zh-CN" w:bidi="ar-SA"/>
        </w:rPr>
        <w:instrText xml:space="preserve"> HYPERLINK "https://www.alltextile.cn/" \t "https://www.alltextile.cn/new/_blank" </w:instrText>
      </w:r>
      <w:r>
        <w:rPr>
          <w:rFonts w:hint="eastAsia" w:ascii="仿宋_GB2312" w:hAnsi="仿宋_GB2312" w:eastAsia="仿宋_GB2312" w:cs="仿宋_GB2312"/>
          <w:color w:val="000000"/>
          <w:kern w:val="2"/>
          <w:sz w:val="32"/>
          <w:szCs w:val="32"/>
          <w:highlight w:val="none"/>
          <w:lang w:val="en-US" w:eastAsia="zh-CN" w:bidi="ar-SA"/>
        </w:rPr>
        <w:fldChar w:fldCharType="separate"/>
      </w:r>
      <w:r>
        <w:rPr>
          <w:rFonts w:hint="eastAsia" w:ascii="仿宋_GB2312" w:hAnsi="仿宋_GB2312" w:eastAsia="仿宋_GB2312" w:cs="仿宋_GB2312"/>
          <w:color w:val="000000"/>
          <w:kern w:val="2"/>
          <w:sz w:val="32"/>
          <w:szCs w:val="32"/>
          <w:highlight w:val="none"/>
          <w:lang w:val="en-US" w:eastAsia="zh-CN" w:bidi="ar-SA"/>
        </w:rPr>
        <w:t>面料</w:t>
      </w:r>
      <w:r>
        <w:rPr>
          <w:rFonts w:hint="eastAsia" w:ascii="仿宋_GB2312" w:hAnsi="仿宋_GB2312" w:eastAsia="仿宋_GB2312" w:cs="仿宋_GB2312"/>
          <w:color w:val="000000"/>
          <w:kern w:val="2"/>
          <w:sz w:val="32"/>
          <w:szCs w:val="32"/>
          <w:highlight w:val="none"/>
          <w:lang w:val="en-US" w:eastAsia="zh-CN" w:bidi="ar-SA"/>
        </w:rPr>
        <w:fldChar w:fldCharType="end"/>
      </w:r>
      <w:r>
        <w:rPr>
          <w:rFonts w:hint="eastAsia" w:ascii="仿宋_GB2312" w:hAnsi="仿宋_GB2312" w:eastAsia="仿宋_GB2312" w:cs="仿宋_GB2312"/>
          <w:color w:val="000000"/>
          <w:kern w:val="2"/>
          <w:sz w:val="32"/>
          <w:szCs w:val="32"/>
          <w:highlight w:val="none"/>
          <w:lang w:val="en-US" w:eastAsia="zh-CN" w:bidi="ar-SA"/>
        </w:rPr>
        <w:t>和里料所使用的材质。</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default" w:ascii="仿宋_GB2312" w:hAnsi="仿宋_GB2312" w:eastAsia="仿宋_GB2312" w:cs="仿宋_GB2312"/>
          <w:color w:val="000000"/>
          <w:kern w:val="2"/>
          <w:sz w:val="32"/>
          <w:szCs w:val="32"/>
          <w:highlight w:val="none"/>
          <w:lang w:val="en-US" w:eastAsia="zh-CN" w:bidi="ar-SA"/>
        </w:rPr>
        <w:t>感官质量项目包括整体外观、缝线、沿口、鞋跟、包头等多个项目。标准规定每双鞋应平整、平服、平稳、清洁、对称；绷帮端正平服。内底不露钉尖，无钉尾突出；鞋帮、鞋里不应明显变色（擦色革等特殊鞋面革除外）、脱色；鞋垫牢固、平整、无明显感官缺陷、有中国鞋号。</w:t>
      </w:r>
    </w:p>
    <w:p>
      <w:pPr>
        <w:keepNext w:val="0"/>
        <w:keepLines w:val="0"/>
        <w:pageBreakBefore w:val="0"/>
        <w:numPr>
          <w:ilvl w:val="0"/>
          <w:numId w:val="2"/>
        </w:numPr>
        <w:kinsoku/>
        <w:wordWrap/>
        <w:overflowPunct/>
        <w:topLinePunct w:val="0"/>
        <w:bidi w:val="0"/>
        <w:snapToGrid/>
        <w:spacing w:line="594" w:lineRule="exact"/>
        <w:jc w:val="both"/>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卫生用品</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1、选择包装完好、存放环境卫生条件好、产品不易二次污染的正规渠道。</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2、留心产品标识中的执行标准和等级。相同标准中通常优等品质量要求最高，合格品质量要求最低，当然价格也相应存在高低。</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不要轻易购买未标注生产日期和保质期或失效日期、不标明详细厂址的产品。</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ind w:left="0"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知名品牌的产品质量较好且稳定，但价格通常也会较高。应注意仔细识别仿名牌产品，外包装难以识别时应看清生产企业的名称是否和知名品牌的一致。</w:t>
      </w:r>
    </w:p>
    <w:p>
      <w:pPr>
        <w:keepNext w:val="0"/>
        <w:keepLines w:val="0"/>
        <w:pageBreakBefore w:val="0"/>
        <w:numPr>
          <w:ilvl w:val="0"/>
          <w:numId w:val="2"/>
        </w:numPr>
        <w:kinsoku/>
        <w:wordWrap/>
        <w:overflowPunct/>
        <w:topLinePunct w:val="0"/>
        <w:bidi w:val="0"/>
        <w:snapToGrid/>
        <w:spacing w:line="594" w:lineRule="exact"/>
        <w:jc w:val="both"/>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毛巾</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1、看质量标识。选择标识内容全面规范的毛巾产品，全面规范的标识内容应包括厂名厂址、产品名称、规格型号、纤维成分及含量、维护方法、执行的产品标准、安全类别等信息。</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2、看外观质量。优质的毛巾产品应无线状疵点、条状疵点、块状疵点，无油污、色渍、破损性疵点，规格尺寸偏差小，色差色花不明显，印染花纹清晰，缝制规范、不跳针、不脱线，毛巾平整，两边尺寸一致。</w:t>
      </w:r>
    </w:p>
    <w:p>
      <w:pPr>
        <w:keepNext w:val="0"/>
        <w:keepLines w:val="0"/>
        <w:pageBreakBefore w:val="0"/>
        <w:numPr>
          <w:ilvl w:val="0"/>
          <w:numId w:val="2"/>
        </w:numPr>
        <w:kinsoku/>
        <w:wordWrap/>
        <w:overflowPunct/>
        <w:topLinePunct w:val="0"/>
        <w:bidi w:val="0"/>
        <w:snapToGrid/>
        <w:spacing w:line="594" w:lineRule="exact"/>
        <w:jc w:val="both"/>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学生用品</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1、注意购买场所。尽量在资质齐全的商场、超市、市场、专卖店、网站购买学习用品。</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注意查看相关标识。注意查看商品是否有名称、厂名、厂址、规格、执行标准、合格标识、警示语等相关信息。购买学习机时，要提前做好功课，了解商品性能、消费者评价、售后服务规定等，注意查看适用年龄、使用说明等。</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注意理性消费。消费者不要被打折促销和多功能、新产品等宣传噱头所诱惑，要根据实际需要，合理购买；家长要注意引导孩子科学、理性消费，面对市场上的新、奇、特及网红文具，要摒弃跟风攀比的消费心理，培养节俭的好习惯。</w:t>
      </w:r>
    </w:p>
    <w:p>
      <w:pPr>
        <w:keepNext w:val="0"/>
        <w:keepLines w:val="0"/>
        <w:pageBreakBefore w:val="0"/>
        <w:numPr>
          <w:ilvl w:val="0"/>
          <w:numId w:val="2"/>
        </w:numPr>
        <w:kinsoku/>
        <w:wordWrap/>
        <w:overflowPunct/>
        <w:topLinePunct w:val="0"/>
        <w:bidi w:val="0"/>
        <w:snapToGrid/>
        <w:spacing w:line="594" w:lineRule="exact"/>
        <w:jc w:val="both"/>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湿巾</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通过产品包装外观分辨质量好坏。消费者在购买湿巾产品时应仔细识别产品标识，包括：卫生许可证号、生产日期、保质期或有效期、执行的标准编号、企业名称和地址等。每个外包装和独立小包装的封口应平滑，无漏气现象，且表面清洁，厚薄均匀，手感轻柔，封口无损。</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sz w:val="32"/>
          <w:szCs w:val="32"/>
          <w:lang w:val="en-US" w:eastAsia="zh-CN"/>
        </w:rPr>
      </w:pPr>
      <w:r>
        <w:rPr>
          <w:rFonts w:hint="eastAsia" w:ascii="仿宋_GB2312" w:hAnsi="仿宋_GB2312" w:eastAsia="仿宋_GB2312" w:cs="仿宋_GB2312"/>
          <w:color w:val="000000"/>
          <w:kern w:val="2"/>
          <w:sz w:val="32"/>
          <w:szCs w:val="32"/>
          <w:highlight w:val="none"/>
          <w:lang w:val="en-US" w:eastAsia="zh-CN" w:bidi="ar-SA"/>
        </w:rPr>
        <w:t>2.注意查看生产日期和保质期。湿巾最好即买即用，不要贮藏太久。注意贮藏条件，尽量在阴凉通风环境中贮藏湿巾产品，潮湿闷热环境容易导致滋生霉菌，导致产品被污染。</w:t>
      </w:r>
    </w:p>
    <w:p>
      <w:pPr>
        <w:keepNext w:val="0"/>
        <w:keepLines w:val="0"/>
        <w:pageBreakBefore w:val="0"/>
        <w:numPr>
          <w:ilvl w:val="0"/>
          <w:numId w:val="2"/>
        </w:numPr>
        <w:kinsoku/>
        <w:wordWrap/>
        <w:overflowPunct/>
        <w:topLinePunct w:val="0"/>
        <w:bidi w:val="0"/>
        <w:snapToGrid/>
        <w:spacing w:line="594" w:lineRule="exact"/>
        <w:jc w:val="both"/>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旅行箱包</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仿宋_GB2312" w:hAnsi="仿宋_GB2312" w:eastAsia="仿宋_GB2312" w:cs="仿宋_GB2312"/>
          <w:color w:val="000000"/>
          <w:kern w:val="2"/>
          <w:sz w:val="32"/>
          <w:szCs w:val="32"/>
          <w:highlight w:val="none"/>
          <w:lang w:val="zh-CN" w:eastAsia="zh-CN" w:bidi="ar-SA"/>
        </w:rPr>
      </w:pPr>
      <w:r>
        <w:rPr>
          <w:rFonts w:hint="eastAsia" w:ascii="仿宋_GB2312" w:hAnsi="仿宋_GB2312" w:eastAsia="仿宋_GB2312" w:cs="仿宋_GB2312"/>
          <w:color w:val="000000"/>
          <w:kern w:val="2"/>
          <w:sz w:val="32"/>
          <w:szCs w:val="32"/>
          <w:highlight w:val="none"/>
          <w:lang w:val="zh-CN" w:eastAsia="zh-CN" w:bidi="ar-SA"/>
        </w:rPr>
        <w:t>1、注意标签、标识。消费者可查看旅行箱包的标识是否齐全，包括是否有中文标注，是否标明制造者的名称、地址、产品名称、产品号型或规格、主体材质、执行标准等。</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仿宋_GB2312" w:hAnsi="仿宋_GB2312" w:eastAsia="仿宋_GB2312" w:cs="仿宋_GB2312"/>
          <w:color w:val="000000"/>
          <w:kern w:val="2"/>
          <w:sz w:val="32"/>
          <w:szCs w:val="32"/>
          <w:highlight w:val="none"/>
          <w:lang w:val="zh-CN" w:eastAsia="zh-CN" w:bidi="ar-SA"/>
        </w:rPr>
      </w:pPr>
      <w:r>
        <w:rPr>
          <w:rFonts w:hint="eastAsia" w:ascii="仿宋_GB2312" w:hAnsi="仿宋_GB2312" w:eastAsia="仿宋_GB2312" w:cs="仿宋_GB2312"/>
          <w:color w:val="000000"/>
          <w:kern w:val="2"/>
          <w:sz w:val="32"/>
          <w:szCs w:val="32"/>
          <w:highlight w:val="none"/>
          <w:lang w:val="zh-CN" w:eastAsia="zh-CN" w:bidi="ar-SA"/>
        </w:rPr>
        <w:t>2、仔细查看包的外观。消费者可以观察缝线、针距等；配件应光亮无锈、无毛刺等；拉链应拉合滑顺，无错位，无掉牙等。例如可仔细观察提把、背带连接处，如出现材质粗糙、缝隙较大等情况，就要谨慎购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zh-CN" w:eastAsia="zh-CN" w:bidi="ar-SA"/>
        </w:rPr>
        <w:t>3、行李箱的拉杆、走轮质量很重要。消费者可以将拉杆反复伸缩几次测试，拉杆拉合应顺滑、无卡阻，拉杆按键应灵活有效。选购时还可将拉杆倾斜至45°，轻轻按压，感受其强度，还要注意查看走轮的转动灵活度及噪音大小。</w:t>
      </w:r>
    </w:p>
    <w:p>
      <w:pPr>
        <w:keepNext w:val="0"/>
        <w:keepLines w:val="0"/>
        <w:pageBreakBefore w:val="0"/>
        <w:numPr>
          <w:ilvl w:val="0"/>
          <w:numId w:val="1"/>
        </w:numPr>
        <w:kinsoku/>
        <w:wordWrap/>
        <w:overflowPunct/>
        <w:topLinePunct w:val="0"/>
        <w:bidi w:val="0"/>
        <w:spacing w:line="594" w:lineRule="exact"/>
        <w:jc w:val="both"/>
        <w:outlineLvl w:val="0"/>
        <w:rPr>
          <w:rFonts w:hint="eastAsia" w:ascii="黑体" w:hAnsi="宋体" w:eastAsia="黑体"/>
          <w:b w:val="0"/>
          <w:bCs w:val="0"/>
          <w:sz w:val="32"/>
          <w:szCs w:val="32"/>
          <w:lang w:eastAsia="zh-CN"/>
        </w:rPr>
      </w:pPr>
      <w:r>
        <w:rPr>
          <w:rFonts w:hint="eastAsia" w:ascii="黑体" w:hAnsi="宋体" w:eastAsia="黑体"/>
          <w:b w:val="0"/>
          <w:bCs w:val="0"/>
          <w:sz w:val="32"/>
          <w:szCs w:val="32"/>
          <w:lang w:eastAsia="zh-CN"/>
        </w:rPr>
        <w:t>建议和措施</w:t>
      </w:r>
      <w:bookmarkEnd w:id="4"/>
    </w:p>
    <w:p>
      <w:pPr>
        <w:pStyle w:val="6"/>
        <w:keepNext w:val="0"/>
        <w:keepLines w:val="0"/>
        <w:pageBreakBefore w:val="0"/>
        <w:widowControl w:val="0"/>
        <w:kinsoku/>
        <w:wordWrap/>
        <w:overflowPunct/>
        <w:topLinePunct w:val="0"/>
        <w:bidi w:val="0"/>
        <w:snapToGrid/>
        <w:spacing w:line="594"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（一）加大对产品生产企业的质量相关法律法规的宣传力度，提高企业质量意识。使生产企业从质量管理上加以重视，同时增加企业对产品质量法等政策法规的认识和了解，帮助企业树立良好的质量观念。</w:t>
      </w:r>
    </w:p>
    <w:p>
      <w:pPr>
        <w:pStyle w:val="3"/>
        <w:rPr>
          <w:rFonts w:hint="default" w:eastAsia="仿宋_GB2312"/>
          <w:b w:val="0"/>
          <w:bCs/>
          <w:sz w:val="32"/>
          <w:szCs w:val="32"/>
          <w:lang w:val="en-US" w:eastAsia="zh-CN"/>
        </w:rPr>
      </w:pPr>
      <w:r>
        <w:rPr>
          <w:rFonts w:hint="eastAsia" w:ascii="仿宋_GB2312" w:hAnsi="仿宋_GB2312" w:eastAsia="仿宋_GB2312" w:cs="仿宋_GB2312"/>
          <w:b w:val="0"/>
          <w:bCs/>
          <w:sz w:val="32"/>
          <w:szCs w:val="32"/>
        </w:rPr>
        <w:t>（二）建议各地市场监督管理局和产品认证管理部门加强对企业注册地址与实际地址相符性的检查。让存在质量问题的产品可以及时并</w:t>
      </w:r>
      <w:r>
        <w:rPr>
          <w:rFonts w:hint="eastAsia" w:ascii="仿宋_GB2312" w:hAnsi="仿宋_GB2312" w:eastAsia="仿宋_GB2312" w:cs="仿宋_GB2312"/>
          <w:b w:val="0"/>
          <w:bCs/>
          <w:sz w:val="32"/>
          <w:szCs w:val="32"/>
          <w:lang w:eastAsia="zh-CN"/>
        </w:rPr>
        <w:t>准确地被追</w:t>
      </w:r>
      <w:r>
        <w:rPr>
          <w:rFonts w:hint="eastAsia" w:ascii="仿宋_GB2312" w:hAnsi="仿宋_GB2312" w:eastAsia="仿宋_GB2312" w:cs="仿宋_GB2312"/>
          <w:b w:val="0"/>
          <w:bCs/>
          <w:sz w:val="32"/>
          <w:szCs w:val="32"/>
        </w:rPr>
        <w:t>溯到，以此来保护消费者的合法权益。</w:t>
      </w:r>
    </w:p>
    <w:p>
      <w:pPr>
        <w:rPr>
          <w:b w:val="0"/>
          <w:bCs/>
        </w:rPr>
      </w:pPr>
    </w:p>
    <w:p>
      <w:pPr>
        <w:pStyle w:val="2"/>
        <w:rPr>
          <w:b w:val="0"/>
          <w:bCs/>
        </w:rPr>
      </w:pPr>
    </w:p>
    <w:p>
      <w:pPr>
        <w:pStyle w:val="11"/>
        <w:spacing w:line="360" w:lineRule="auto"/>
        <w:ind w:firstLine="3840" w:firstLineChars="1200"/>
        <w:jc w:val="right"/>
        <w:rPr>
          <w:rFonts w:hint="eastAsia" w:ascii="仿宋_GB2312" w:hAnsi="仿宋_GB2312" w:eastAsia="仿宋_GB2312" w:cs="仿宋_GB2312"/>
          <w:color w:val="000000"/>
          <w:kern w:val="0"/>
          <w:sz w:val="32"/>
          <w:szCs w:val="32"/>
          <w:lang w:val="en-US" w:eastAsia="zh-CN" w:bidi="ar-SA"/>
        </w:rPr>
        <w:sectPr>
          <w:headerReference r:id="rId3" w:type="first"/>
          <w:footerReference r:id="rId5" w:type="first"/>
          <w:footerReference r:id="rId4" w:type="default"/>
          <w:pgSz w:w="11906" w:h="16838"/>
          <w:pgMar w:top="1134" w:right="1701" w:bottom="1134" w:left="1701" w:header="567" w:footer="850" w:gutter="0"/>
          <w:pgNumType w:fmt="decimal" w:start="1"/>
          <w:cols w:space="720" w:num="1"/>
          <w:titlePg/>
          <w:rtlGutter w:val="0"/>
          <w:docGrid w:type="lines" w:linePitch="314" w:charSpace="0"/>
        </w:sectPr>
      </w:pPr>
      <w:r>
        <w:rPr>
          <w:rFonts w:hint="eastAsia" w:ascii="仿宋_GB2312" w:hAnsi="仿宋_GB2312" w:eastAsia="仿宋_GB2312" w:cs="仿宋_GB2312"/>
          <w:color w:val="000000"/>
          <w:kern w:val="0"/>
          <w:sz w:val="32"/>
          <w:szCs w:val="32"/>
          <w:lang w:val="en-US" w:eastAsia="zh-CN" w:bidi="ar-SA"/>
        </w:rPr>
        <w:t xml:space="preserve"> 淮北市市场监督管理局                        2023年11月</w:t>
      </w: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52"/>
        <w:tab w:val="clear" w:pos="4153"/>
      </w:tabs>
      <w:jc w:val="both"/>
      <w:rPr>
        <w:rFonts w:ascii="Times New Roman" w:hAnsi="Times New Roman" w:cs="Times New Roman"/>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35863"/>
    <w:multiLevelType w:val="singleLevel"/>
    <w:tmpl w:val="87935863"/>
    <w:lvl w:ilvl="0" w:tentative="0">
      <w:start w:val="4"/>
      <w:numFmt w:val="chineseCounting"/>
      <w:suff w:val="nothing"/>
      <w:lvlText w:val="%1、"/>
      <w:lvlJc w:val="left"/>
      <w:rPr>
        <w:rFonts w:hint="eastAsia"/>
      </w:rPr>
    </w:lvl>
  </w:abstractNum>
  <w:abstractNum w:abstractNumId="1">
    <w:nsid w:val="FAF7A1F8"/>
    <w:multiLevelType w:val="singleLevel"/>
    <w:tmpl w:val="FAF7A1F8"/>
    <w:lvl w:ilvl="0" w:tentative="0">
      <w:start w:val="1"/>
      <w:numFmt w:val="chineseCounting"/>
      <w:suff w:val="nothing"/>
      <w:lvlText w:val="（%1）"/>
      <w:lvlJc w:val="left"/>
      <w:rPr>
        <w:rFonts w:hint="eastAsia"/>
      </w:rPr>
    </w:lvl>
  </w:abstractNum>
  <w:abstractNum w:abstractNumId="2">
    <w:nsid w:val="366376C3"/>
    <w:multiLevelType w:val="singleLevel"/>
    <w:tmpl w:val="366376C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21ECB"/>
    <w:rsid w:val="67021ECB"/>
    <w:rsid w:val="7E6C0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3">
    <w:name w:val="heading 4"/>
    <w:basedOn w:val="1"/>
    <w:next w:val="1"/>
    <w:unhideWhenUsed/>
    <w:qFormat/>
    <w:uiPriority w:val="0"/>
    <w:pPr>
      <w:keepNext/>
      <w:keepLines/>
      <w:spacing w:beforeLines="0" w:beforeAutospacing="0" w:afterLines="0" w:afterAutospacing="0" w:line="372" w:lineRule="auto"/>
      <w:jc w:val="both"/>
      <w:outlineLvl w:val="3"/>
    </w:pPr>
    <w:rPr>
      <w:rFonts w:ascii="Arial" w:hAnsi="Arial" w:eastAsia="宋体" w:cs="宋体"/>
      <w:b/>
      <w:kern w:val="0"/>
      <w:sz w:val="28"/>
      <w:szCs w:val="22"/>
      <w:lang w:val="zh-CN" w:bidi="zh-CN"/>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widowControl/>
      <w:snapToGrid w:val="0"/>
      <w:spacing w:line="500" w:lineRule="exact"/>
      <w:ind w:firstLine="560" w:firstLineChars="200"/>
      <w:jc w:val="both"/>
    </w:pPr>
    <w:rPr>
      <w:rFonts w:ascii="仿宋_GB2312" w:hAnsi="仿宋" w:eastAsia="仿宋_GB2312"/>
      <w:color w:val="000000"/>
      <w:sz w:val="28"/>
      <w:szCs w:val="28"/>
    </w:rPr>
  </w:style>
  <w:style w:type="paragraph" w:styleId="7">
    <w:name w:val="Normal (Web)"/>
    <w:basedOn w:val="1"/>
    <w:unhideWhenUsed/>
    <w:qFormat/>
    <w:uiPriority w:val="99"/>
    <w:rPr>
      <w:rFonts w:ascii="Calibri" w:hAnsi="Calibri" w:eastAsia="宋体" w:cs="宋体"/>
      <w:sz w:val="24"/>
    </w:rPr>
  </w:style>
  <w:style w:type="paragraph" w:styleId="10">
    <w:name w:val="List Paragraph"/>
    <w:basedOn w:val="1"/>
    <w:qFormat/>
    <w:uiPriority w:val="34"/>
    <w:pPr>
      <w:ind w:firstLine="420" w:firstLineChars="200"/>
    </w:pPr>
    <w:rPr>
      <w:rFonts w:cs="Times New Roman"/>
    </w:rPr>
  </w:style>
  <w:style w:type="paragraph" w:customStyle="1" w:styleId="11">
    <w:name w:val="列出段落1"/>
    <w:basedOn w:val="1"/>
    <w:qFormat/>
    <w:uiPriority w:val="34"/>
    <w:pPr>
      <w:autoSpaceDE/>
      <w:autoSpaceDN/>
      <w:adjustRightInd/>
      <w:ind w:firstLine="420" w:firstLineChars="200"/>
      <w:jc w:val="both"/>
    </w:pPr>
    <w:rPr>
      <w:rFonts w:ascii="Calibri" w:hAnsi="Calibri" w:cs="黑体"/>
      <w:kern w:val="2"/>
      <w:sz w:val="21"/>
      <w:szCs w:val="22"/>
    </w:rPr>
  </w:style>
  <w:style w:type="character" w:customStyle="1" w:styleId="12">
    <w:name w:val="font11"/>
    <w:basedOn w:val="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8142;&#21271;&#24066;100&#25209;&#27425;(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8142;&#21271;&#24066;100&#25209;&#27425;(1).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8142;&#21271;&#24066;100&#25209;&#27425;(1).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8142;&#21271;&#24066;100&#25209;&#27425;(1).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8142;&#21271;&#24066;100&#25209;&#27425;(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'[淮北市100批次(1).xls]Sheet1'!$I$2</c:f>
              <c:strCache>
                <c:ptCount val="1"/>
                <c:pt idx="0">
                  <c:v>生产领域</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'[淮北市100批次(1).xls]Sheet1'!$J$1:$M$1</c:f>
              <c:strCache>
                <c:ptCount val="4"/>
                <c:pt idx="0">
                  <c:v>抽查企业数</c:v>
                </c:pt>
                <c:pt idx="1">
                  <c:v>抽查批次数</c:v>
                </c:pt>
                <c:pt idx="2">
                  <c:v>不合格批次数</c:v>
                </c:pt>
                <c:pt idx="3">
                  <c:v>不合格发现率%</c:v>
                </c:pt>
              </c:strCache>
            </c:strRef>
          </c:cat>
          <c:val>
            <c:numRef>
              <c:f>'[淮北市100批次(1).xls]Sheet1'!$J$2:$M$2</c:f>
              <c:numCache>
                <c:formatCode>General</c:formatCode>
                <c:ptCount val="4"/>
                <c:pt idx="0">
                  <c:v>0</c:v>
                </c:pt>
                <c:pt idx="1">
                  <c:v>0</c:v>
                </c:pt>
                <c:pt idx="2">
                  <c:v>0</c:v>
                </c:pt>
                <c:pt idx="3">
                  <c:v>0</c:v>
                </c:pt>
              </c:numCache>
            </c:numRef>
          </c:val>
        </c:ser>
        <c:ser>
          <c:idx val="1"/>
          <c:order val="1"/>
          <c:tx>
            <c:strRef>
              <c:f>'[淮北市100批次(1).xls]Sheet1'!$I$3</c:f>
              <c:strCache>
                <c:ptCount val="1"/>
                <c:pt idx="0">
                  <c:v>流通领域</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'[淮北市100批次(1).xls]Sheet1'!$J$1:$M$1</c:f>
              <c:strCache>
                <c:ptCount val="4"/>
                <c:pt idx="0">
                  <c:v>抽查企业数</c:v>
                </c:pt>
                <c:pt idx="1">
                  <c:v>抽查批次数</c:v>
                </c:pt>
                <c:pt idx="2">
                  <c:v>不合格批次数</c:v>
                </c:pt>
                <c:pt idx="3">
                  <c:v>不合格发现率%</c:v>
                </c:pt>
              </c:strCache>
            </c:strRef>
          </c:cat>
          <c:val>
            <c:numRef>
              <c:f>'[淮北市100批次(1).xls]Sheet1'!$J$3:$M$3</c:f>
              <c:numCache>
                <c:formatCode>General</c:formatCode>
                <c:ptCount val="4"/>
                <c:pt idx="0">
                  <c:v>27</c:v>
                </c:pt>
                <c:pt idx="1">
                  <c:v>100</c:v>
                </c:pt>
                <c:pt idx="2">
                  <c:v>11</c:v>
                </c:pt>
                <c:pt idx="3">
                  <c:v>11</c:v>
                </c:pt>
              </c:numCache>
            </c:numRef>
          </c:val>
        </c:ser>
        <c:dLbls>
          <c:showLegendKey val="0"/>
          <c:showVal val="1"/>
          <c:showCatName val="0"/>
          <c:showSerName val="0"/>
          <c:showPercent val="0"/>
          <c:showBubbleSize val="0"/>
        </c:dLbls>
        <c:gapWidth val="219"/>
        <c:overlap val="-27"/>
        <c:axId val="286284540"/>
        <c:axId val="797862846"/>
      </c:barChart>
      <c:catAx>
        <c:axId val="286284540"/>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97862846"/>
        <c:crosses val="autoZero"/>
        <c:auto val="1"/>
        <c:lblAlgn val="ctr"/>
        <c:lblOffset val="100"/>
        <c:noMultiLvlLbl val="0"/>
      </c:catAx>
      <c:valAx>
        <c:axId val="79786284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862845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'[淮北市100批次(1).xls]Sheet1'!$F$46</c:f>
              <c:strCache>
                <c:ptCount val="1"/>
                <c:pt idx="0">
                  <c:v>抽查批次数</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'[淮北市100批次(1).xls]Sheet1'!$E$47:$E$57</c:f>
              <c:strCache>
                <c:ptCount val="11"/>
                <c:pt idx="0">
                  <c:v>玩具</c:v>
                </c:pt>
                <c:pt idx="1">
                  <c:v>电玩具</c:v>
                </c:pt>
                <c:pt idx="2">
                  <c:v>家用电器</c:v>
                </c:pt>
                <c:pt idx="3">
                  <c:v>食品接触用产品</c:v>
                </c:pt>
                <c:pt idx="4">
                  <c:v>信息技术设备</c:v>
                </c:pt>
                <c:pt idx="5">
                  <c:v>鞋类</c:v>
                </c:pt>
                <c:pt idx="6">
                  <c:v>卫生用品</c:v>
                </c:pt>
                <c:pt idx="7">
                  <c:v>毛巾</c:v>
                </c:pt>
                <c:pt idx="8">
                  <c:v>学生用品</c:v>
                </c:pt>
                <c:pt idx="9">
                  <c:v>湿巾</c:v>
                </c:pt>
                <c:pt idx="10">
                  <c:v>旅行箱包</c:v>
                </c:pt>
              </c:strCache>
            </c:strRef>
          </c:cat>
          <c:val>
            <c:numRef>
              <c:f>'[淮北市100批次(1).xls]Sheet1'!$F$47:$F$57</c:f>
              <c:numCache>
                <c:formatCode>General</c:formatCode>
                <c:ptCount val="11"/>
                <c:pt idx="0">
                  <c:v>16</c:v>
                </c:pt>
                <c:pt idx="1">
                  <c:v>5</c:v>
                </c:pt>
                <c:pt idx="2">
                  <c:v>25</c:v>
                </c:pt>
                <c:pt idx="3">
                  <c:v>10</c:v>
                </c:pt>
                <c:pt idx="4">
                  <c:v>5</c:v>
                </c:pt>
                <c:pt idx="5">
                  <c:v>5</c:v>
                </c:pt>
                <c:pt idx="6">
                  <c:v>13</c:v>
                </c:pt>
                <c:pt idx="7">
                  <c:v>5</c:v>
                </c:pt>
                <c:pt idx="8">
                  <c:v>10</c:v>
                </c:pt>
                <c:pt idx="9">
                  <c:v>3</c:v>
                </c:pt>
                <c:pt idx="10">
                  <c:v>3</c:v>
                </c:pt>
              </c:numCache>
            </c:numRef>
          </c:val>
        </c:ser>
        <c:ser>
          <c:idx val="1"/>
          <c:order val="1"/>
          <c:tx>
            <c:strRef>
              <c:f>'[淮北市100批次(1).xls]Sheet1'!$G$46</c:f>
              <c:strCache>
                <c:ptCount val="1"/>
                <c:pt idx="0">
                  <c:v>不合格批次数</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'[淮北市100批次(1).xls]Sheet1'!$E$47:$E$57</c:f>
              <c:strCache>
                <c:ptCount val="11"/>
                <c:pt idx="0">
                  <c:v>玩具</c:v>
                </c:pt>
                <c:pt idx="1">
                  <c:v>电玩具</c:v>
                </c:pt>
                <c:pt idx="2">
                  <c:v>家用电器</c:v>
                </c:pt>
                <c:pt idx="3">
                  <c:v>食品接触用产品</c:v>
                </c:pt>
                <c:pt idx="4">
                  <c:v>信息技术设备</c:v>
                </c:pt>
                <c:pt idx="5">
                  <c:v>鞋类</c:v>
                </c:pt>
                <c:pt idx="6">
                  <c:v>卫生用品</c:v>
                </c:pt>
                <c:pt idx="7">
                  <c:v>毛巾</c:v>
                </c:pt>
                <c:pt idx="8">
                  <c:v>学生用品</c:v>
                </c:pt>
                <c:pt idx="9">
                  <c:v>湿巾</c:v>
                </c:pt>
                <c:pt idx="10">
                  <c:v>旅行箱包</c:v>
                </c:pt>
              </c:strCache>
            </c:strRef>
          </c:cat>
          <c:val>
            <c:numRef>
              <c:f>'[淮北市100批次(1).xls]Sheet1'!$G$47:$G$57</c:f>
              <c:numCache>
                <c:formatCode>General</c:formatCode>
                <c:ptCount val="11"/>
                <c:pt idx="0">
                  <c:v>0</c:v>
                </c:pt>
                <c:pt idx="1">
                  <c:v>0</c:v>
                </c:pt>
                <c:pt idx="2">
                  <c:v>4</c:v>
                </c:pt>
                <c:pt idx="3">
                  <c:v>0</c:v>
                </c:pt>
                <c:pt idx="4">
                  <c:v>4</c:v>
                </c:pt>
                <c:pt idx="5">
                  <c:v>1</c:v>
                </c:pt>
                <c:pt idx="6">
                  <c:v>0</c:v>
                </c:pt>
                <c:pt idx="7">
                  <c:v>0</c:v>
                </c:pt>
                <c:pt idx="8">
                  <c:v>0</c:v>
                </c:pt>
                <c:pt idx="9">
                  <c:v>0</c:v>
                </c:pt>
                <c:pt idx="10">
                  <c:v>2</c:v>
                </c:pt>
              </c:numCache>
            </c:numRef>
          </c:val>
        </c:ser>
        <c:dLbls>
          <c:showLegendKey val="0"/>
          <c:showVal val="1"/>
          <c:showCatName val="0"/>
          <c:showSerName val="0"/>
          <c:showPercent val="0"/>
          <c:showBubbleSize val="0"/>
        </c:dLbls>
        <c:gapWidth val="150"/>
        <c:overlap val="0"/>
        <c:axId val="786066862"/>
        <c:axId val="323231664"/>
      </c:barChart>
      <c:lineChart>
        <c:grouping val="standard"/>
        <c:varyColors val="0"/>
        <c:ser>
          <c:idx val="2"/>
          <c:order val="2"/>
          <c:tx>
            <c:strRef>
              <c:f>'[淮北市100批次(1).xls]Sheet1'!$H$46</c:f>
              <c:strCache>
                <c:ptCount val="1"/>
                <c:pt idx="0">
                  <c:v>不合格发现率%</c:v>
                </c:pt>
              </c:strCache>
            </c:strRef>
          </c:tx>
          <c:spPr>
            <a:ln w="28575" cap="rnd">
              <a:solidFill>
                <a:srgbClr val="9BBB59"/>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'[淮北市100批次(1).xls]Sheet1'!$E$47:$E$57</c:f>
              <c:strCache>
                <c:ptCount val="11"/>
                <c:pt idx="0">
                  <c:v>玩具</c:v>
                </c:pt>
                <c:pt idx="1">
                  <c:v>电玩具</c:v>
                </c:pt>
                <c:pt idx="2">
                  <c:v>家用电器</c:v>
                </c:pt>
                <c:pt idx="3">
                  <c:v>食品接触用产品</c:v>
                </c:pt>
                <c:pt idx="4">
                  <c:v>信息技术设备</c:v>
                </c:pt>
                <c:pt idx="5">
                  <c:v>鞋类</c:v>
                </c:pt>
                <c:pt idx="6">
                  <c:v>卫生用品</c:v>
                </c:pt>
                <c:pt idx="7">
                  <c:v>毛巾</c:v>
                </c:pt>
                <c:pt idx="8">
                  <c:v>学生用品</c:v>
                </c:pt>
                <c:pt idx="9">
                  <c:v>湿巾</c:v>
                </c:pt>
                <c:pt idx="10">
                  <c:v>旅行箱包</c:v>
                </c:pt>
              </c:strCache>
            </c:strRef>
          </c:cat>
          <c:val>
            <c:numRef>
              <c:f>'[淮北市100批次(1).xls]Sheet1'!$H$47:$H$57</c:f>
              <c:numCache>
                <c:formatCode>General</c:formatCode>
                <c:ptCount val="11"/>
                <c:pt idx="0">
                  <c:v>0</c:v>
                </c:pt>
                <c:pt idx="1">
                  <c:v>0</c:v>
                </c:pt>
                <c:pt idx="2">
                  <c:v>16</c:v>
                </c:pt>
                <c:pt idx="3">
                  <c:v>0</c:v>
                </c:pt>
                <c:pt idx="4">
                  <c:v>80</c:v>
                </c:pt>
                <c:pt idx="5">
                  <c:v>20</c:v>
                </c:pt>
                <c:pt idx="6">
                  <c:v>0</c:v>
                </c:pt>
                <c:pt idx="7">
                  <c:v>0</c:v>
                </c:pt>
                <c:pt idx="8">
                  <c:v>0</c:v>
                </c:pt>
                <c:pt idx="9">
                  <c:v>0</c:v>
                </c:pt>
                <c:pt idx="10">
                  <c:v>66.67</c:v>
                </c:pt>
              </c:numCache>
            </c:numRef>
          </c:val>
          <c:smooth val="0"/>
        </c:ser>
        <c:dLbls>
          <c:showLegendKey val="0"/>
          <c:showVal val="1"/>
          <c:showCatName val="0"/>
          <c:showSerName val="0"/>
          <c:showPercent val="0"/>
          <c:showBubbleSize val="0"/>
        </c:dLbls>
        <c:marker val="0"/>
        <c:smooth val="0"/>
        <c:axId val="786066862"/>
        <c:axId val="323231664"/>
      </c:lineChart>
      <c:catAx>
        <c:axId val="78606686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23231664"/>
        <c:crosses val="autoZero"/>
        <c:auto val="1"/>
        <c:lblAlgn val="ctr"/>
        <c:lblOffset val="100"/>
        <c:noMultiLvlLbl val="0"/>
      </c:catAx>
      <c:valAx>
        <c:axId val="32323166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8606686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'[淮北市100批次(1).xls]Sheet1'!$E$47:$E$57</c:f>
              <c:strCache>
                <c:ptCount val="11"/>
                <c:pt idx="0">
                  <c:v>玩具</c:v>
                </c:pt>
                <c:pt idx="1">
                  <c:v>电玩具</c:v>
                </c:pt>
                <c:pt idx="2">
                  <c:v>家用电器</c:v>
                </c:pt>
                <c:pt idx="3">
                  <c:v>食品接触用产品</c:v>
                </c:pt>
                <c:pt idx="4">
                  <c:v>信息技术设备</c:v>
                </c:pt>
                <c:pt idx="5">
                  <c:v>鞋类</c:v>
                </c:pt>
                <c:pt idx="6">
                  <c:v>卫生用品</c:v>
                </c:pt>
                <c:pt idx="7">
                  <c:v>毛巾</c:v>
                </c:pt>
                <c:pt idx="8">
                  <c:v>学生用品</c:v>
                </c:pt>
                <c:pt idx="9">
                  <c:v>湿巾</c:v>
                </c:pt>
                <c:pt idx="10">
                  <c:v>旅行箱包</c:v>
                </c:pt>
              </c:strCache>
            </c:strRef>
          </c:cat>
          <c:val>
            <c:numRef>
              <c:f>'[淮北市100批次(1).xls]Sheet1'!$F$47:$F$57</c:f>
            </c:numRef>
          </c:val>
        </c:ser>
        <c:ser>
          <c:idx val="1"/>
          <c:order val="1"/>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'[淮北市100批次(1).xls]Sheet1'!$E$47:$E$57</c:f>
              <c:strCache>
                <c:ptCount val="11"/>
                <c:pt idx="0">
                  <c:v>玩具</c:v>
                </c:pt>
                <c:pt idx="1">
                  <c:v>电玩具</c:v>
                </c:pt>
                <c:pt idx="2">
                  <c:v>家用电器</c:v>
                </c:pt>
                <c:pt idx="3">
                  <c:v>食品接触用产品</c:v>
                </c:pt>
                <c:pt idx="4">
                  <c:v>信息技术设备</c:v>
                </c:pt>
                <c:pt idx="5">
                  <c:v>鞋类</c:v>
                </c:pt>
                <c:pt idx="6">
                  <c:v>卫生用品</c:v>
                </c:pt>
                <c:pt idx="7">
                  <c:v>毛巾</c:v>
                </c:pt>
                <c:pt idx="8">
                  <c:v>学生用品</c:v>
                </c:pt>
                <c:pt idx="9">
                  <c:v>湿巾</c:v>
                </c:pt>
                <c:pt idx="10">
                  <c:v>旅行箱包</c:v>
                </c:pt>
              </c:strCache>
            </c:strRef>
          </c:cat>
          <c:val>
            <c:numRef>
              <c:f>'[淮北市100批次(1).xls]Sheet1'!$G$47:$G$57</c:f>
            </c:numRef>
          </c:val>
        </c:ser>
        <c:ser>
          <c:idx val="2"/>
          <c:order val="2"/>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'[淮北市100批次(1).xls]Sheet1'!$E$47:$E$57</c:f>
              <c:strCache>
                <c:ptCount val="11"/>
                <c:pt idx="0">
                  <c:v>玩具</c:v>
                </c:pt>
                <c:pt idx="1">
                  <c:v>电玩具</c:v>
                </c:pt>
                <c:pt idx="2">
                  <c:v>家用电器</c:v>
                </c:pt>
                <c:pt idx="3">
                  <c:v>食品接触用产品</c:v>
                </c:pt>
                <c:pt idx="4">
                  <c:v>信息技术设备</c:v>
                </c:pt>
                <c:pt idx="5">
                  <c:v>鞋类</c:v>
                </c:pt>
                <c:pt idx="6">
                  <c:v>卫生用品</c:v>
                </c:pt>
                <c:pt idx="7">
                  <c:v>毛巾</c:v>
                </c:pt>
                <c:pt idx="8">
                  <c:v>学生用品</c:v>
                </c:pt>
                <c:pt idx="9">
                  <c:v>湿巾</c:v>
                </c:pt>
                <c:pt idx="10">
                  <c:v>旅行箱包</c:v>
                </c:pt>
              </c:strCache>
            </c:strRef>
          </c:cat>
          <c:val>
            <c:numRef>
              <c:f>'[淮北市100批次(1).xls]Sheet1'!$H$47:$H$57</c:f>
            </c:numRef>
          </c:val>
        </c:ser>
        <c:ser>
          <c:idx val="3"/>
          <c:order val="3"/>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'[淮北市100批次(1).xls]Sheet1'!$E$47:$E$57</c:f>
              <c:strCache>
                <c:ptCount val="11"/>
                <c:pt idx="0">
                  <c:v>玩具</c:v>
                </c:pt>
                <c:pt idx="1">
                  <c:v>电玩具</c:v>
                </c:pt>
                <c:pt idx="2">
                  <c:v>家用电器</c:v>
                </c:pt>
                <c:pt idx="3">
                  <c:v>食品接触用产品</c:v>
                </c:pt>
                <c:pt idx="4">
                  <c:v>信息技术设备</c:v>
                </c:pt>
                <c:pt idx="5">
                  <c:v>鞋类</c:v>
                </c:pt>
                <c:pt idx="6">
                  <c:v>卫生用品</c:v>
                </c:pt>
                <c:pt idx="7">
                  <c:v>毛巾</c:v>
                </c:pt>
                <c:pt idx="8">
                  <c:v>学生用品</c:v>
                </c:pt>
                <c:pt idx="9">
                  <c:v>湿巾</c:v>
                </c:pt>
                <c:pt idx="10">
                  <c:v>旅行箱包</c:v>
                </c:pt>
              </c:strCache>
            </c:strRef>
          </c:cat>
          <c:val>
            <c:numRef>
              <c:f>'[淮北市100批次(1).xls]Sheet1'!$I$47:$I$57</c:f>
            </c:numRef>
          </c:val>
        </c:ser>
        <c:ser>
          <c:idx val="4"/>
          <c:order val="4"/>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'[淮北市100批次(1).xls]Sheet1'!$E$47:$E$57</c:f>
              <c:strCache>
                <c:ptCount val="11"/>
                <c:pt idx="0">
                  <c:v>玩具</c:v>
                </c:pt>
                <c:pt idx="1">
                  <c:v>电玩具</c:v>
                </c:pt>
                <c:pt idx="2">
                  <c:v>家用电器</c:v>
                </c:pt>
                <c:pt idx="3">
                  <c:v>食品接触用产品</c:v>
                </c:pt>
                <c:pt idx="4">
                  <c:v>信息技术设备</c:v>
                </c:pt>
                <c:pt idx="5">
                  <c:v>鞋类</c:v>
                </c:pt>
                <c:pt idx="6">
                  <c:v>卫生用品</c:v>
                </c:pt>
                <c:pt idx="7">
                  <c:v>毛巾</c:v>
                </c:pt>
                <c:pt idx="8">
                  <c:v>学生用品</c:v>
                </c:pt>
                <c:pt idx="9">
                  <c:v>湿巾</c:v>
                </c:pt>
                <c:pt idx="10">
                  <c:v>旅行箱包</c:v>
                </c:pt>
              </c:strCache>
            </c:strRef>
          </c:cat>
          <c:val>
            <c:numRef>
              <c:f>'[淮北市100批次(1).xls]Sheet1'!$J$47:$J$57</c:f>
            </c:numRef>
          </c:val>
        </c:ser>
        <c:ser>
          <c:idx val="5"/>
          <c:order val="5"/>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Pt>
            <c:idx val="7"/>
            <c:bubble3D val="0"/>
            <c:spPr>
              <a:solidFill>
                <a:srgbClr val="772C2A">
                  <a:lumMod val="60000"/>
                </a:srgbClr>
              </a:solidFill>
              <a:ln w="19050">
                <a:solidFill>
                  <a:srgbClr val="FFFFFF"/>
                </a:solidFill>
              </a:ln>
              <a:effectLst/>
            </c:spPr>
          </c:dPt>
          <c:dPt>
            <c:idx val="8"/>
            <c:bubble3D val="0"/>
            <c:spPr>
              <a:solidFill>
                <a:srgbClr val="5F7530">
                  <a:lumMod val="60000"/>
                </a:srgbClr>
              </a:solidFill>
              <a:ln w="19050">
                <a:solidFill>
                  <a:srgbClr val="FFFFFF"/>
                </a:solidFill>
              </a:ln>
              <a:effectLst/>
            </c:spPr>
          </c:dPt>
          <c:dPt>
            <c:idx val="9"/>
            <c:bubble3D val="0"/>
            <c:spPr>
              <a:solidFill>
                <a:srgbClr val="4D3B62">
                  <a:lumMod val="60000"/>
                </a:srgbClr>
              </a:solidFill>
              <a:ln w="19050">
                <a:solidFill>
                  <a:srgbClr val="FFFFFF"/>
                </a:solidFill>
              </a:ln>
              <a:effectLst/>
            </c:spPr>
          </c:dPt>
          <c:dPt>
            <c:idx val="10"/>
            <c:bubble3D val="0"/>
            <c:spPr>
              <a:solidFill>
                <a:srgbClr val="276A7C">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'[淮北市100批次(1).xls]Sheet1'!$E$47:$E$57</c:f>
              <c:strCache>
                <c:ptCount val="11"/>
                <c:pt idx="0">
                  <c:v>玩具</c:v>
                </c:pt>
                <c:pt idx="1">
                  <c:v>电玩具</c:v>
                </c:pt>
                <c:pt idx="2">
                  <c:v>家用电器</c:v>
                </c:pt>
                <c:pt idx="3">
                  <c:v>食品接触用产品</c:v>
                </c:pt>
                <c:pt idx="4">
                  <c:v>信息技术设备</c:v>
                </c:pt>
                <c:pt idx="5">
                  <c:v>鞋类</c:v>
                </c:pt>
                <c:pt idx="6">
                  <c:v>卫生用品</c:v>
                </c:pt>
                <c:pt idx="7">
                  <c:v>毛巾</c:v>
                </c:pt>
                <c:pt idx="8">
                  <c:v>学生用品</c:v>
                </c:pt>
                <c:pt idx="9">
                  <c:v>湿巾</c:v>
                </c:pt>
                <c:pt idx="10">
                  <c:v>旅行箱包</c:v>
                </c:pt>
              </c:strCache>
            </c:strRef>
          </c:cat>
          <c:val>
            <c:numRef>
              <c:f>'[淮北市100批次(1).xls]Sheet1'!$K$47:$K$57</c:f>
              <c:numCache>
                <c:formatCode>0%</c:formatCode>
                <c:ptCount val="11"/>
                <c:pt idx="0">
                  <c:v>0.16</c:v>
                </c:pt>
                <c:pt idx="1">
                  <c:v>0.05</c:v>
                </c:pt>
                <c:pt idx="2">
                  <c:v>0.25</c:v>
                </c:pt>
                <c:pt idx="3">
                  <c:v>0.1</c:v>
                </c:pt>
                <c:pt idx="4">
                  <c:v>0.05</c:v>
                </c:pt>
                <c:pt idx="5">
                  <c:v>0.05</c:v>
                </c:pt>
                <c:pt idx="6">
                  <c:v>0.13</c:v>
                </c:pt>
                <c:pt idx="7">
                  <c:v>0.05</c:v>
                </c:pt>
                <c:pt idx="8">
                  <c:v>0.1</c:v>
                </c:pt>
                <c:pt idx="9">
                  <c:v>0.03</c:v>
                </c:pt>
                <c:pt idx="10">
                  <c:v>0.03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'[淮北市100批次(1).xls]Sheet1'!$F$33</c:f>
              <c:strCache>
                <c:ptCount val="1"/>
                <c:pt idx="0">
                  <c:v>抽查企业数</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'[淮北市100批次(1).xls]Sheet1'!$F$34:$F$37</c:f>
              <c:numCache>
                <c:formatCode>General</c:formatCode>
                <c:ptCount val="4"/>
                <c:pt idx="0">
                  <c:v>7</c:v>
                </c:pt>
                <c:pt idx="1">
                  <c:v>6</c:v>
                </c:pt>
                <c:pt idx="2">
                  <c:v>13</c:v>
                </c:pt>
                <c:pt idx="3">
                  <c:v>1</c:v>
                </c:pt>
              </c:numCache>
            </c:numRef>
          </c:val>
        </c:ser>
        <c:ser>
          <c:idx val="1"/>
          <c:order val="1"/>
          <c:tx>
            <c:strRef>
              <c:f>'[淮北市100批次(1).xls]Sheet1'!$G$33</c:f>
              <c:strCache>
                <c:ptCount val="1"/>
                <c:pt idx="0">
                  <c:v>不合格企业数</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'[淮北市100批次(1).xls]Sheet1'!$G$34:$G$37</c:f>
              <c:numCache>
                <c:formatCode>General</c:formatCode>
                <c:ptCount val="4"/>
                <c:pt idx="0">
                  <c:v>2</c:v>
                </c:pt>
                <c:pt idx="1">
                  <c:v>3</c:v>
                </c:pt>
                <c:pt idx="2">
                  <c:v>3</c:v>
                </c:pt>
                <c:pt idx="3">
                  <c:v>0</c:v>
                </c:pt>
              </c:numCache>
            </c:numRef>
          </c:val>
        </c:ser>
        <c:dLbls>
          <c:showLegendKey val="0"/>
          <c:showVal val="1"/>
          <c:showCatName val="0"/>
          <c:showSerName val="0"/>
          <c:showPercent val="0"/>
          <c:showBubbleSize val="0"/>
        </c:dLbls>
        <c:gapWidth val="150"/>
        <c:overlap val="0"/>
        <c:axId val="95510928"/>
        <c:axId val="699980799"/>
      </c:barChart>
      <c:lineChart>
        <c:grouping val="standard"/>
        <c:varyColors val="0"/>
        <c:ser>
          <c:idx val="2"/>
          <c:order val="2"/>
          <c:tx>
            <c:strRef>
              <c:f>'[淮北市100批次(1).xls]Sheet1'!$H$33</c:f>
              <c:strCache>
                <c:ptCount val="1"/>
                <c:pt idx="0">
                  <c:v>企业抽查不合格率（%）</c:v>
                </c:pt>
              </c:strCache>
            </c:strRef>
          </c:tx>
          <c:spPr>
            <a:ln w="28575" cap="rnd">
              <a:solidFill>
                <a:srgbClr val="9BBB59"/>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'[淮北市100批次(1).xls]Sheet1'!$H$34:$H$37</c:f>
              <c:numCache>
                <c:formatCode>General</c:formatCode>
                <c:ptCount val="4"/>
                <c:pt idx="0">
                  <c:v>28.57</c:v>
                </c:pt>
                <c:pt idx="1">
                  <c:v>50</c:v>
                </c:pt>
                <c:pt idx="2">
                  <c:v>23.08</c:v>
                </c:pt>
                <c:pt idx="3">
                  <c:v>0</c:v>
                </c:pt>
              </c:numCache>
            </c:numRef>
          </c:val>
          <c:smooth val="0"/>
        </c:ser>
        <c:ser>
          <c:idx val="3"/>
          <c:order val="3"/>
          <c:tx>
            <c:strRef>
              <c:f>'[淮北市100批次(1).xls]Sheet1'!$I$33</c:f>
              <c:strCache>
                <c:ptCount val="1"/>
                <c:pt idx="0">
                  <c:v>抽查样品数</c:v>
                </c:pt>
              </c:strCache>
            </c:strRef>
          </c:tx>
          <c:spPr>
            <a:ln w="28575" cap="rnd">
              <a:solidFill>
                <a:srgbClr val="8064A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'[淮北市100批次(1).xls]Sheet1'!$I$34:$I$37</c:f>
              <c:numCache>
                <c:formatCode>General</c:formatCode>
                <c:ptCount val="4"/>
                <c:pt idx="0">
                  <c:v>32</c:v>
                </c:pt>
                <c:pt idx="1">
                  <c:v>16</c:v>
                </c:pt>
                <c:pt idx="2">
                  <c:v>50</c:v>
                </c:pt>
                <c:pt idx="3">
                  <c:v>2</c:v>
                </c:pt>
              </c:numCache>
            </c:numRef>
          </c:val>
          <c:smooth val="0"/>
        </c:ser>
        <c:ser>
          <c:idx val="4"/>
          <c:order val="4"/>
          <c:tx>
            <c:strRef>
              <c:f>'[淮北市100批次(1).xls]Sheet1'!$J$33</c:f>
              <c:strCache>
                <c:ptCount val="1"/>
                <c:pt idx="0">
                  <c:v>不合格样品数</c:v>
                </c:pt>
              </c:strCache>
            </c:strRef>
          </c:tx>
          <c:spPr>
            <a:ln w="28575" cap="rnd">
              <a:solidFill>
                <a:srgbClr val="4BACC6"/>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'[淮北市100批次(1).xls]Sheet1'!$J$34:$J$37</c:f>
              <c:numCache>
                <c:formatCode>General</c:formatCode>
                <c:ptCount val="4"/>
                <c:pt idx="0">
                  <c:v>3</c:v>
                </c:pt>
                <c:pt idx="1">
                  <c:v>4</c:v>
                </c:pt>
                <c:pt idx="2">
                  <c:v>4</c:v>
                </c:pt>
                <c:pt idx="3">
                  <c:v>0</c:v>
                </c:pt>
              </c:numCache>
            </c:numRef>
          </c:val>
          <c:smooth val="0"/>
        </c:ser>
        <c:ser>
          <c:idx val="5"/>
          <c:order val="5"/>
          <c:tx>
            <c:strRef>
              <c:f>'[淮北市100批次(1).xls]Sheet1'!$K$33</c:f>
              <c:strCache>
                <c:ptCount val="1"/>
                <c:pt idx="0">
                  <c:v>抽样不合格率（%）</c:v>
                </c:pt>
              </c:strCache>
            </c:strRef>
          </c:tx>
          <c:spPr>
            <a:ln w="28575" cap="rnd">
              <a:solidFill>
                <a:srgbClr val="F79646"/>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'[淮北市100批次(1).xls]Sheet1'!$K$34:$K$37</c:f>
              <c:numCache>
                <c:formatCode>General</c:formatCode>
                <c:ptCount val="4"/>
                <c:pt idx="0">
                  <c:v>9.38</c:v>
                </c:pt>
                <c:pt idx="1">
                  <c:v>25</c:v>
                </c:pt>
                <c:pt idx="2">
                  <c:v>8</c:v>
                </c:pt>
                <c:pt idx="3">
                  <c:v>0</c:v>
                </c:pt>
              </c:numCache>
            </c:numRef>
          </c:val>
          <c:smooth val="0"/>
        </c:ser>
        <c:dLbls>
          <c:showLegendKey val="0"/>
          <c:showVal val="1"/>
          <c:showCatName val="0"/>
          <c:showSerName val="0"/>
          <c:showPercent val="0"/>
          <c:showBubbleSize val="0"/>
        </c:dLbls>
        <c:marker val="0"/>
        <c:smooth val="0"/>
        <c:axId val="95510928"/>
        <c:axId val="699980799"/>
      </c:lineChart>
      <c:catAx>
        <c:axId val="95510928"/>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99980799"/>
        <c:crosses val="autoZero"/>
        <c:auto val="1"/>
        <c:lblAlgn val="ctr"/>
        <c:lblOffset val="100"/>
        <c:noMultiLvlLbl val="0"/>
      </c:catAx>
      <c:valAx>
        <c:axId val="699980799"/>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5109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'[淮北市100批次(1).xls]Sheet1'!$F$34:$F$37</c:f>
            </c:numRef>
          </c:val>
        </c:ser>
        <c:ser>
          <c:idx val="1"/>
          <c:order val="1"/>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'[淮北市100批次(1).xls]Sheet1'!$G$34:$G$37</c:f>
            </c:numRef>
          </c:val>
        </c:ser>
        <c:ser>
          <c:idx val="2"/>
          <c:order val="2"/>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'[淮北市100批次(1).xls]Sheet1'!$H$34:$H$37</c:f>
            </c:numRef>
          </c:val>
        </c:ser>
        <c:ser>
          <c:idx val="3"/>
          <c:order val="3"/>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'[淮北市100批次(1).xls]Sheet1'!$I$34:$I$37</c:f>
            </c:numRef>
          </c:val>
        </c:ser>
        <c:ser>
          <c:idx val="4"/>
          <c:order val="4"/>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'[淮北市100批次(1).xls]Sheet1'!$J$34:$J$37</c:f>
            </c:numRef>
          </c:val>
        </c:ser>
        <c:ser>
          <c:idx val="5"/>
          <c:order val="5"/>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'[淮北市100批次(1).xls]Sheet1'!$K$34:$K$37</c:f>
            </c:numRef>
          </c:val>
        </c:ser>
        <c:ser>
          <c:idx val="6"/>
          <c:order val="6"/>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'[淮北市100批次(1).xls]Sheet1'!$L$34:$L$37</c:f>
            </c:numRef>
          </c:val>
        </c:ser>
        <c:ser>
          <c:idx val="7"/>
          <c:order val="7"/>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'[淮北市100批次(1).xls]Sheet1'!$E$34:$E$37</c:f>
              <c:strCache>
                <c:ptCount val="4"/>
                <c:pt idx="0">
                  <c:v>濉溪县</c:v>
                </c:pt>
                <c:pt idx="1">
                  <c:v>杜集区</c:v>
                </c:pt>
                <c:pt idx="2">
                  <c:v>相山区</c:v>
                </c:pt>
                <c:pt idx="3">
                  <c:v>烈山区</c:v>
                </c:pt>
              </c:strCache>
            </c:strRef>
          </c:cat>
          <c:val>
            <c:numRef>
              <c:f>'[淮北市100批次(1).xls]Sheet1'!$M$34:$M$37</c:f>
              <c:numCache>
                <c:formatCode>0.00%</c:formatCode>
                <c:ptCount val="4"/>
                <c:pt idx="0">
                  <c:v>0.259259259259259</c:v>
                </c:pt>
                <c:pt idx="1">
                  <c:v>0.222222222222222</c:v>
                </c:pt>
                <c:pt idx="2">
                  <c:v>0.481481481481481</c:v>
                </c:pt>
                <c:pt idx="3">
                  <c:v>0.037037037037037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2023-11-30T07:53:00Z</dcterms:created>
  <dc:creator>周明华</dc:creator>
  <cp:lastModifiedBy>周明华</cp:lastModifiedBy>
  <cp:lastPrinted>2023-11-30T07:58:39Z</cp:lastPrinted>
  <dcterms:modified xsi:type="dcterms:W3CDTF">2023-11-30T08:10:31Z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