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rPr>
          <w:rFonts w:hint="eastAsia" w:ascii="黑体" w:hAnsi="黑体" w:eastAsia="黑体" w:cs="黑体"/>
          <w:sz w:val="32"/>
          <w:szCs w:val="32"/>
        </w:rPr>
      </w:pPr>
      <w:r>
        <w:rPr>
          <w:rFonts w:hint="eastAsia" w:ascii="黑体" w:hAnsi="黑体" w:eastAsia="黑体" w:cs="黑体"/>
          <w:sz w:val="32"/>
          <w:szCs w:val="32"/>
        </w:rPr>
        <w:t>附件1-1</w:t>
      </w:r>
    </w:p>
    <w:p>
      <w:pPr>
        <w:spacing w:line="0" w:lineRule="atLeast"/>
        <w:jc w:val="center"/>
        <w:rPr>
          <w:rFonts w:hint="eastAsia" w:ascii="楷体_GB2312" w:hAnsi="楷体_GB2312" w:eastAsia="楷体_GB2312" w:cs="楷体_GB2312"/>
          <w:b/>
          <w:bCs/>
          <w:sz w:val="36"/>
          <w:szCs w:val="36"/>
        </w:rPr>
      </w:pPr>
      <w:r>
        <w:rPr>
          <w:rFonts w:hint="eastAsia" w:ascii="方正小标宋简体" w:hAnsi="方正小标宋简体" w:eastAsia="方正小标宋简体" w:cs="方正小标宋简体"/>
          <w:sz w:val="36"/>
          <w:szCs w:val="36"/>
          <w:lang w:eastAsia="zh-CN"/>
        </w:rPr>
        <w:t>淮北</w:t>
      </w:r>
      <w:r>
        <w:rPr>
          <w:rFonts w:hint="eastAsia" w:ascii="方正小标宋简体" w:hAnsi="方正小标宋简体" w:eastAsia="方正小标宋简体" w:cs="方正小标宋简体"/>
          <w:sz w:val="36"/>
          <w:szCs w:val="36"/>
        </w:rPr>
        <w:t>市餐饮服务食品安全违法行为记分检查表（普通餐饮单位）</w:t>
      </w:r>
    </w:p>
    <w:tbl>
      <w:tblPr>
        <w:tblStyle w:val="4"/>
        <w:tblW w:w="5012" w:type="pct"/>
        <w:jc w:val="center"/>
        <w:tblLayout w:type="fixed"/>
        <w:tblCellMar>
          <w:top w:w="0" w:type="dxa"/>
          <w:left w:w="108" w:type="dxa"/>
          <w:bottom w:w="0" w:type="dxa"/>
          <w:right w:w="108" w:type="dxa"/>
        </w:tblCellMar>
      </w:tblPr>
      <w:tblGrid>
        <w:gridCol w:w="2099"/>
        <w:gridCol w:w="765"/>
        <w:gridCol w:w="10131"/>
        <w:gridCol w:w="1027"/>
      </w:tblGrid>
      <w:tr>
        <w:tblPrEx>
          <w:tblCellMar>
            <w:top w:w="0" w:type="dxa"/>
            <w:left w:w="108" w:type="dxa"/>
            <w:bottom w:w="0" w:type="dxa"/>
            <w:right w:w="108" w:type="dxa"/>
          </w:tblCellMar>
        </w:tblPrEx>
        <w:trPr>
          <w:trHeight w:val="284" w:hRule="atLeast"/>
          <w:jc w:val="center"/>
        </w:trPr>
        <w:tc>
          <w:tcPr>
            <w:tcW w:w="20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8"/>
                <w:szCs w:val="28"/>
              </w:rPr>
            </w:pPr>
            <w:r>
              <w:rPr>
                <w:rFonts w:hint="eastAsia" w:ascii="黑体" w:hAnsi="宋体" w:eastAsia="黑体" w:cs="宋体"/>
                <w:color w:val="000000"/>
                <w:kern w:val="0"/>
                <w:sz w:val="28"/>
                <w:szCs w:val="28"/>
              </w:rPr>
              <w:t>检查类别</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8"/>
                <w:szCs w:val="28"/>
              </w:rPr>
            </w:pPr>
            <w:r>
              <w:rPr>
                <w:rFonts w:hint="eastAsia" w:ascii="黑体" w:hAnsi="宋体" w:eastAsia="黑体" w:cs="宋体"/>
                <w:color w:val="000000"/>
                <w:kern w:val="0"/>
                <w:sz w:val="28"/>
                <w:szCs w:val="28"/>
              </w:rPr>
              <w:t>序号</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8"/>
                <w:szCs w:val="28"/>
              </w:rPr>
            </w:pPr>
            <w:r>
              <w:rPr>
                <w:rFonts w:hint="eastAsia" w:ascii="黑体" w:hAnsi="宋体" w:eastAsia="黑体" w:cs="宋体"/>
                <w:color w:val="000000"/>
                <w:kern w:val="0"/>
                <w:sz w:val="28"/>
                <w:szCs w:val="28"/>
              </w:rPr>
              <w:t>违法违规行为（适用情形）</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8"/>
                <w:szCs w:val="28"/>
              </w:rPr>
            </w:pPr>
            <w:r>
              <w:rPr>
                <w:rFonts w:hint="eastAsia" w:ascii="黑体" w:hAnsi="宋体" w:eastAsia="黑体" w:cs="宋体"/>
                <w:color w:val="000000"/>
                <w:kern w:val="0"/>
                <w:sz w:val="28"/>
                <w:szCs w:val="28"/>
              </w:rPr>
              <w:t>记分值</w:t>
            </w:r>
          </w:p>
        </w:tc>
      </w:tr>
      <w:tr>
        <w:tblPrEx>
          <w:tblCellMar>
            <w:top w:w="0" w:type="dxa"/>
            <w:left w:w="108" w:type="dxa"/>
            <w:bottom w:w="0" w:type="dxa"/>
            <w:right w:w="108" w:type="dxa"/>
          </w:tblCellMar>
        </w:tblPrEx>
        <w:trPr>
          <w:trHeight w:val="284" w:hRule="atLeast"/>
          <w:jc w:val="center"/>
        </w:trPr>
        <w:tc>
          <w:tcPr>
            <w:tcW w:w="20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kern w:val="0"/>
                <w:sz w:val="24"/>
                <w:szCs w:val="24"/>
              </w:rPr>
            </w:pPr>
            <w:r>
              <w:rPr>
                <w:rFonts w:hint="eastAsia" w:ascii="宋体" w:hAnsi="宋体" w:cs="宋体"/>
                <w:color w:val="000000"/>
                <w:kern w:val="0"/>
                <w:sz w:val="24"/>
                <w:szCs w:val="24"/>
              </w:rPr>
              <w:t>一、许可管理</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实际经营地址、主体业态、经营项目等事项与食品经营许可证不一致，经营条件不再符合食品安全要求未按要求立即整改或上报。</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2099" w:type="dxa"/>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二、信息公示</w:t>
            </w:r>
          </w:p>
        </w:tc>
        <w:tc>
          <w:tcPr>
            <w:tcW w:w="765"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2</w:t>
            </w:r>
          </w:p>
        </w:tc>
        <w:tc>
          <w:tcPr>
            <w:tcW w:w="10131"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未在经营场所醒目位置公示食品经营许可证、量化等级、监督检查记录表。</w:t>
            </w:r>
          </w:p>
        </w:tc>
        <w:tc>
          <w:tcPr>
            <w:tcW w:w="1027"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65"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3</w:t>
            </w:r>
          </w:p>
        </w:tc>
        <w:tc>
          <w:tcPr>
            <w:tcW w:w="10131"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FF"/>
                <w:kern w:val="0"/>
                <w:sz w:val="24"/>
                <w:szCs w:val="24"/>
                <w:lang w:eastAsia="zh-CN"/>
              </w:rPr>
              <w:t>是否实施“明厨亮灶”或“互联网</w:t>
            </w:r>
            <w:r>
              <w:rPr>
                <w:rFonts w:hint="eastAsia" w:ascii="宋体" w:hAnsi="宋体" w:cs="宋体"/>
                <w:color w:val="0000FF"/>
                <w:kern w:val="0"/>
                <w:sz w:val="24"/>
                <w:szCs w:val="24"/>
                <w:lang w:val="en-US" w:eastAsia="zh-CN"/>
              </w:rPr>
              <w:t>+明厨亮灶</w:t>
            </w:r>
            <w:r>
              <w:rPr>
                <w:rFonts w:hint="eastAsia" w:ascii="宋体" w:hAnsi="宋体" w:cs="宋体"/>
                <w:color w:val="0000FF"/>
                <w:kern w:val="0"/>
                <w:sz w:val="24"/>
                <w:szCs w:val="24"/>
                <w:lang w:eastAsia="zh-CN"/>
              </w:rPr>
              <w:t>”。</w:t>
            </w:r>
          </w:p>
        </w:tc>
        <w:tc>
          <w:tcPr>
            <w:tcW w:w="1027"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三、制度管理</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4</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未建立从业人员健康、食品安全自查、进货查验记录、过程控制、投诉处理等相应的食品安全管理制度，未按要求落实自查记录，列入重点监督对象的餐饮单位未进行自查报告备案。</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5</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未制定食品安全事故处置方案或方案内容不符合要求。</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四、人员管理</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6</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未按要求配备食品安全管理人员履行职责</w:t>
            </w:r>
            <w:r>
              <w:rPr>
                <w:rFonts w:ascii="宋体" w:hAnsi="宋体" w:cs="宋体"/>
                <w:color w:val="000000"/>
                <w:kern w:val="21"/>
                <w:sz w:val="24"/>
                <w:szCs w:val="24"/>
              </w:rPr>
              <w:t>，</w:t>
            </w:r>
            <w:r>
              <w:rPr>
                <w:rFonts w:hint="eastAsia" w:ascii="宋体" w:hAnsi="宋体" w:cs="宋体"/>
                <w:color w:val="000000"/>
                <w:kern w:val="21"/>
                <w:sz w:val="24"/>
                <w:szCs w:val="24"/>
              </w:rPr>
              <w:t>食品安全管理员经监管抽查考核不具备食品安全管理能力或专业知识培训不合格。</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20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7</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接触直接入口食品工作的从业人员无有效健康证明或患有有碍食品安全疾病。</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0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8</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从业人员加工经营食品时未穿戴清洁的工作衣帽、双手不清洁、未保持个人卫生。</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9</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从业人员未进行食品安全培训。</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099"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五、环境卫生</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10</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经营场所卫生未保持清洁：地面、墙壁、天花板和门窗等不洁净，排水沟渠不畅通，废弃物不能及时清理；与污染源未达到规定的距离；食品处理区内设有厕所；</w:t>
            </w:r>
            <w:r>
              <w:rPr>
                <w:rFonts w:hint="eastAsia" w:ascii="宋体" w:hAnsi="宋体" w:cs="宋体"/>
                <w:color w:val="000000"/>
                <w:kern w:val="21"/>
                <w:sz w:val="24"/>
                <w:szCs w:val="24"/>
                <w:lang w:eastAsia="zh-CN"/>
              </w:rPr>
              <w:t>其他影响环境卫生的情形</w:t>
            </w:r>
            <w:r>
              <w:rPr>
                <w:rFonts w:hint="eastAsia" w:ascii="宋体" w:hAnsi="宋体" w:cs="宋体"/>
                <w:color w:val="000000"/>
                <w:kern w:val="21"/>
                <w:sz w:val="24"/>
                <w:szCs w:val="24"/>
              </w:rPr>
              <w:t>。</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099"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六、原料控制</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11</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未按规定查验供货者的许可证和检验合格证明，未如实记录有关信息并保存相关购物凭证。</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0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12</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hint="eastAsia" w:ascii="宋体" w:hAnsi="宋体" w:cs="宋体"/>
                <w:color w:val="000000"/>
                <w:sz w:val="24"/>
                <w:szCs w:val="24"/>
              </w:rPr>
            </w:pPr>
            <w:r>
              <w:rPr>
                <w:rFonts w:hint="eastAsia" w:ascii="宋体" w:hAnsi="宋体" w:cs="宋体"/>
                <w:color w:val="000000"/>
                <w:kern w:val="0"/>
                <w:sz w:val="24"/>
                <w:szCs w:val="24"/>
              </w:rPr>
              <w:t>原料外包装标识不符合要求。</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0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13</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食品原料贮存存在以下情形之一的：（</w:t>
            </w:r>
            <w:r>
              <w:rPr>
                <w:rFonts w:ascii="宋体" w:hAnsi="宋体" w:cs="宋体"/>
                <w:color w:val="000000"/>
                <w:kern w:val="21"/>
                <w:sz w:val="24"/>
                <w:szCs w:val="24"/>
              </w:rPr>
              <w:t>1</w:t>
            </w:r>
            <w:r>
              <w:rPr>
                <w:rFonts w:hint="eastAsia" w:ascii="宋体" w:hAnsi="宋体" w:cs="宋体"/>
                <w:color w:val="000000"/>
                <w:kern w:val="21"/>
                <w:sz w:val="24"/>
                <w:szCs w:val="24"/>
              </w:rPr>
              <w:t>）未按照外包装标识的条件和食品安全要求贮存食品原料；（</w:t>
            </w:r>
            <w:r>
              <w:rPr>
                <w:rFonts w:ascii="宋体" w:hAnsi="宋体" w:cs="宋体"/>
                <w:color w:val="000000"/>
                <w:kern w:val="21"/>
                <w:sz w:val="24"/>
                <w:szCs w:val="24"/>
              </w:rPr>
              <w:t>2</w:t>
            </w:r>
            <w:r>
              <w:rPr>
                <w:rFonts w:hint="eastAsia" w:ascii="宋体" w:hAnsi="宋体" w:cs="宋体"/>
                <w:color w:val="000000"/>
                <w:kern w:val="21"/>
                <w:sz w:val="24"/>
                <w:szCs w:val="24"/>
              </w:rPr>
              <w:t>）未分类、离地存放食品原料；（</w:t>
            </w:r>
            <w:r>
              <w:rPr>
                <w:rFonts w:ascii="宋体" w:hAnsi="宋体" w:cs="宋体"/>
                <w:color w:val="000000"/>
                <w:kern w:val="21"/>
                <w:sz w:val="24"/>
                <w:szCs w:val="24"/>
              </w:rPr>
              <w:t>3</w:t>
            </w:r>
            <w:r>
              <w:rPr>
                <w:rFonts w:hint="eastAsia" w:ascii="宋体" w:hAnsi="宋体" w:cs="宋体"/>
                <w:color w:val="000000"/>
                <w:kern w:val="21"/>
                <w:sz w:val="24"/>
                <w:szCs w:val="24"/>
              </w:rPr>
              <w:t>）有变质或超过保质期限的食品原料未及时清理；（</w:t>
            </w:r>
            <w:r>
              <w:rPr>
                <w:rFonts w:ascii="宋体" w:hAnsi="宋体" w:cs="宋体"/>
                <w:color w:val="000000"/>
                <w:kern w:val="21"/>
                <w:sz w:val="24"/>
                <w:szCs w:val="24"/>
              </w:rPr>
              <w:t>4</w:t>
            </w:r>
            <w:r>
              <w:rPr>
                <w:rFonts w:hint="eastAsia" w:ascii="宋体" w:hAnsi="宋体" w:cs="宋体"/>
                <w:color w:val="000000"/>
                <w:kern w:val="21"/>
                <w:sz w:val="24"/>
                <w:szCs w:val="24"/>
              </w:rPr>
              <w:t>）未对贮存的散装食品进行信息标明。</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209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14</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食品加工用水不符合国家</w:t>
            </w:r>
            <w:r>
              <w:rPr>
                <w:rFonts w:ascii="宋体" w:hAnsi="宋体" w:cs="宋体"/>
                <w:color w:val="000000"/>
                <w:kern w:val="21"/>
                <w:sz w:val="24"/>
                <w:szCs w:val="24"/>
              </w:rPr>
              <w:t>GB5749</w:t>
            </w:r>
            <w:r>
              <w:rPr>
                <w:rFonts w:hint="eastAsia" w:ascii="宋体" w:hAnsi="宋体" w:cs="宋体"/>
                <w:color w:val="000000"/>
                <w:kern w:val="21"/>
                <w:sz w:val="24"/>
                <w:szCs w:val="24"/>
              </w:rPr>
              <w:t>《生活饮用水卫生标准》，自备水源未能提供有资质的检测机构出具的水质检测合格报告，接触食品成品的水未经过水净化设施处理或未使用可直接饮用水。</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099" w:type="dxa"/>
            <w:vMerge w:val="continue"/>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21" w:leftChars="10" w:right="21" w:rightChars="10"/>
              <w:rPr>
                <w:rFonts w:ascii="宋体" w:hAnsi="宋体" w:cs="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15</w:t>
            </w:r>
          </w:p>
        </w:tc>
        <w:tc>
          <w:tcPr>
            <w:tcW w:w="1013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存在以下较严重情形之一的：（</w:t>
            </w:r>
            <w:r>
              <w:rPr>
                <w:rFonts w:ascii="宋体" w:hAnsi="宋体" w:cs="宋体"/>
                <w:color w:val="000000"/>
                <w:kern w:val="21"/>
                <w:sz w:val="24"/>
                <w:szCs w:val="24"/>
              </w:rPr>
              <w:t>1</w:t>
            </w:r>
            <w:r>
              <w:rPr>
                <w:rFonts w:hint="eastAsia" w:ascii="宋体" w:hAnsi="宋体" w:cs="宋体"/>
                <w:color w:val="000000"/>
                <w:kern w:val="21"/>
                <w:sz w:val="24"/>
                <w:szCs w:val="24"/>
              </w:rPr>
              <w:t>）使用超过保质期、腐败变质、油脂酸败、霉变生虫、污秽不洁、混有异物、掺假掺杂或感官性状异常的食品、食品添加剂；（</w:t>
            </w:r>
            <w:r>
              <w:rPr>
                <w:rFonts w:ascii="宋体" w:hAnsi="宋体" w:cs="宋体"/>
                <w:color w:val="000000"/>
                <w:kern w:val="21"/>
                <w:sz w:val="24"/>
                <w:szCs w:val="24"/>
              </w:rPr>
              <w:t>2</w:t>
            </w:r>
            <w:r>
              <w:rPr>
                <w:rFonts w:hint="eastAsia" w:ascii="宋体" w:hAnsi="宋体" w:cs="宋体"/>
                <w:color w:val="000000"/>
                <w:kern w:val="21"/>
                <w:sz w:val="24"/>
                <w:szCs w:val="24"/>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21"/>
                <w:sz w:val="24"/>
                <w:szCs w:val="24"/>
              </w:rPr>
              <w:t>3</w:t>
            </w:r>
            <w:r>
              <w:rPr>
                <w:rFonts w:hint="eastAsia" w:ascii="宋体" w:hAnsi="宋体" w:cs="宋体"/>
                <w:color w:val="000000"/>
                <w:kern w:val="21"/>
                <w:sz w:val="24"/>
                <w:szCs w:val="24"/>
              </w:rPr>
              <w:t>）食品原料与有毒、有害物品一同贮存、运输。</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10</w:t>
            </w:r>
          </w:p>
        </w:tc>
      </w:tr>
    </w:tbl>
    <w:p>
      <w:pPr>
        <w:keepNext w:val="0"/>
        <w:keepLines w:val="0"/>
        <w:pageBreakBefore w:val="0"/>
        <w:kinsoku/>
        <w:wordWrap/>
        <w:overflowPunct/>
        <w:topLinePunct w:val="0"/>
        <w:autoSpaceDE/>
        <w:autoSpaceDN/>
        <w:bidi w:val="0"/>
        <w:adjustRightInd/>
        <w:spacing w:line="300" w:lineRule="exact"/>
        <w:rPr>
          <w:rFonts w:hint="eastAsia"/>
          <w:sz w:val="24"/>
          <w:szCs w:val="24"/>
        </w:rPr>
      </w:pPr>
    </w:p>
    <w:tbl>
      <w:tblPr>
        <w:tblStyle w:val="4"/>
        <w:tblW w:w="5012" w:type="pct"/>
        <w:jc w:val="center"/>
        <w:tblLayout w:type="fixed"/>
        <w:tblCellMar>
          <w:top w:w="0" w:type="dxa"/>
          <w:left w:w="108" w:type="dxa"/>
          <w:bottom w:w="0" w:type="dxa"/>
          <w:right w:w="108" w:type="dxa"/>
        </w:tblCellMar>
      </w:tblPr>
      <w:tblGrid>
        <w:gridCol w:w="2115"/>
        <w:gridCol w:w="719"/>
        <w:gridCol w:w="10172"/>
        <w:gridCol w:w="1016"/>
      </w:tblGrid>
      <w:tr>
        <w:tblPrEx>
          <w:tblCellMar>
            <w:top w:w="0" w:type="dxa"/>
            <w:left w:w="108" w:type="dxa"/>
            <w:bottom w:w="0" w:type="dxa"/>
            <w:right w:w="108" w:type="dxa"/>
          </w:tblCellMar>
        </w:tblPrEx>
        <w:trPr>
          <w:trHeight w:val="284" w:hRule="atLeast"/>
          <w:jc w:val="center"/>
        </w:trPr>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检查类别</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序号</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违法违规行为（适用情形）</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记分值</w:t>
            </w:r>
          </w:p>
        </w:tc>
      </w:tr>
      <w:tr>
        <w:tblPrEx>
          <w:tblCellMar>
            <w:top w:w="0" w:type="dxa"/>
            <w:left w:w="108" w:type="dxa"/>
            <w:bottom w:w="0" w:type="dxa"/>
            <w:right w:w="108" w:type="dxa"/>
          </w:tblCellMar>
        </w:tblPrEx>
        <w:trPr>
          <w:trHeight w:val="284" w:hRule="atLeast"/>
          <w:jc w:val="center"/>
        </w:trPr>
        <w:tc>
          <w:tcPr>
            <w:tcW w:w="2115" w:type="dxa"/>
            <w:tcBorders>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r>
              <w:rPr>
                <w:rFonts w:hint="eastAsia" w:ascii="宋体" w:hAnsi="宋体" w:cs="宋体"/>
                <w:color w:val="000000"/>
                <w:kern w:val="0"/>
                <w:sz w:val="24"/>
                <w:szCs w:val="24"/>
              </w:rPr>
              <w:t>六、原料控制</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16</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采购或使用不符合食品安全标准的食品原料（除</w:t>
            </w:r>
            <w:r>
              <w:rPr>
                <w:rFonts w:ascii="宋体" w:hAnsi="宋体" w:cs="宋体"/>
                <w:color w:val="000000"/>
                <w:kern w:val="0"/>
                <w:sz w:val="24"/>
                <w:szCs w:val="24"/>
              </w:rPr>
              <w:t>15</w:t>
            </w:r>
            <w:r>
              <w:rPr>
                <w:rFonts w:hint="eastAsia" w:ascii="宋体" w:hAnsi="宋体" w:cs="宋体"/>
                <w:color w:val="000000"/>
                <w:kern w:val="0"/>
                <w:sz w:val="24"/>
                <w:szCs w:val="24"/>
              </w:rPr>
              <w:t>项以外的情形）。</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5</w:t>
            </w:r>
          </w:p>
        </w:tc>
      </w:tr>
      <w:tr>
        <w:tblPrEx>
          <w:tblCellMar>
            <w:top w:w="0" w:type="dxa"/>
            <w:left w:w="108" w:type="dxa"/>
            <w:bottom w:w="0" w:type="dxa"/>
            <w:right w:w="108" w:type="dxa"/>
          </w:tblCellMar>
        </w:tblPrEx>
        <w:trPr>
          <w:trHeight w:val="284" w:hRule="atLeast"/>
          <w:jc w:val="center"/>
        </w:trPr>
        <w:tc>
          <w:tcPr>
            <w:tcW w:w="211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r>
              <w:rPr>
                <w:rFonts w:hint="eastAsia" w:ascii="宋体" w:hAnsi="宋体" w:cs="宋体"/>
                <w:color w:val="000000"/>
                <w:sz w:val="24"/>
                <w:szCs w:val="24"/>
              </w:rPr>
              <w:t>七、加工过程</w:t>
            </w:r>
          </w:p>
        </w:tc>
        <w:tc>
          <w:tcPr>
            <w:tcW w:w="71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17</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未采取有效防护措施避免食品受到污染：（</w:t>
            </w:r>
            <w:r>
              <w:rPr>
                <w:rFonts w:ascii="宋体" w:hAnsi="宋体" w:cs="宋体"/>
                <w:color w:val="000000"/>
                <w:kern w:val="21"/>
                <w:sz w:val="24"/>
                <w:szCs w:val="24"/>
              </w:rPr>
              <w:t>1</w:t>
            </w:r>
            <w:r>
              <w:rPr>
                <w:rFonts w:hint="eastAsia" w:ascii="宋体" w:hAnsi="宋体" w:cs="宋体"/>
                <w:color w:val="000000"/>
                <w:kern w:val="21"/>
                <w:sz w:val="24"/>
                <w:szCs w:val="24"/>
              </w:rPr>
              <w:t>）食品原料、半成品与成品在盛放、贮存时未相互分开；（</w:t>
            </w:r>
            <w:r>
              <w:rPr>
                <w:rFonts w:ascii="宋体" w:hAnsi="宋体" w:cs="宋体"/>
                <w:color w:val="000000"/>
                <w:kern w:val="21"/>
                <w:sz w:val="24"/>
                <w:szCs w:val="24"/>
              </w:rPr>
              <w:t>2</w:t>
            </w:r>
            <w:r>
              <w:rPr>
                <w:rFonts w:hint="eastAsia" w:ascii="宋体" w:hAnsi="宋体" w:cs="宋体"/>
                <w:color w:val="000000"/>
                <w:kern w:val="21"/>
                <w:sz w:val="24"/>
                <w:szCs w:val="24"/>
              </w:rPr>
              <w:t>）用于盛装成品的餐饮容器直接放置地上；（</w:t>
            </w:r>
            <w:r>
              <w:rPr>
                <w:rFonts w:ascii="宋体" w:hAnsi="宋体" w:cs="宋体"/>
                <w:color w:val="000000"/>
                <w:kern w:val="21"/>
                <w:sz w:val="24"/>
                <w:szCs w:val="24"/>
              </w:rPr>
              <w:t>3</w:t>
            </w:r>
            <w:r>
              <w:rPr>
                <w:rFonts w:hint="eastAsia" w:ascii="宋体" w:hAnsi="宋体" w:cs="宋体"/>
                <w:color w:val="000000"/>
                <w:kern w:val="21"/>
                <w:sz w:val="24"/>
                <w:szCs w:val="24"/>
              </w:rPr>
              <w:t>）食品原料清洗、餐用具清洗消毒以及清洁工用具清洗水池</w:t>
            </w:r>
            <w:r>
              <w:rPr>
                <w:rFonts w:ascii="宋体" w:hAnsi="宋体" w:cs="宋体"/>
                <w:color w:val="000000"/>
                <w:kern w:val="21"/>
                <w:sz w:val="24"/>
                <w:szCs w:val="24"/>
              </w:rPr>
              <w:t>（</w:t>
            </w:r>
            <w:r>
              <w:rPr>
                <w:rFonts w:hint="eastAsia" w:ascii="宋体" w:hAnsi="宋体" w:cs="宋体"/>
                <w:color w:val="000000"/>
                <w:kern w:val="21"/>
                <w:sz w:val="24"/>
                <w:szCs w:val="24"/>
              </w:rPr>
              <w:t>容器</w:t>
            </w:r>
            <w:r>
              <w:rPr>
                <w:rFonts w:ascii="宋体" w:hAnsi="宋体" w:cs="宋体"/>
                <w:color w:val="000000"/>
                <w:kern w:val="21"/>
                <w:sz w:val="24"/>
                <w:szCs w:val="24"/>
              </w:rPr>
              <w:t>）</w:t>
            </w:r>
            <w:r>
              <w:rPr>
                <w:rFonts w:hint="eastAsia" w:ascii="宋体" w:hAnsi="宋体" w:cs="宋体"/>
                <w:color w:val="000000"/>
                <w:kern w:val="21"/>
                <w:sz w:val="24"/>
                <w:szCs w:val="24"/>
              </w:rPr>
              <w:t>未分开专用；（</w:t>
            </w:r>
            <w:r>
              <w:rPr>
                <w:rFonts w:ascii="宋体" w:hAnsi="宋体" w:cs="宋体"/>
                <w:color w:val="000000"/>
                <w:kern w:val="21"/>
                <w:sz w:val="24"/>
                <w:szCs w:val="24"/>
              </w:rPr>
              <w:t>4</w:t>
            </w:r>
            <w:r>
              <w:rPr>
                <w:rFonts w:hint="eastAsia" w:ascii="宋体" w:hAnsi="宋体" w:cs="宋体"/>
                <w:color w:val="000000"/>
                <w:kern w:val="21"/>
                <w:sz w:val="24"/>
                <w:szCs w:val="24"/>
              </w:rPr>
              <w:t>）存在污染食品及其加工制作过程的其他情形。</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18</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食品成品存放的温度和时间不符合规范的要求。</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19</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超范围、超限量使用食品添加剂</w:t>
            </w:r>
            <w:r>
              <w:rPr>
                <w:rFonts w:hint="eastAsia" w:ascii="宋体" w:hAnsi="宋体" w:cs="宋体"/>
                <w:color w:val="000000"/>
                <w:kern w:val="21"/>
                <w:sz w:val="24"/>
                <w:szCs w:val="24"/>
                <w:lang w:eastAsia="zh-CN"/>
              </w:rPr>
              <w:t>或非法添加非食用物质</w:t>
            </w:r>
            <w:r>
              <w:rPr>
                <w:rFonts w:hint="eastAsia" w:ascii="宋体" w:hAnsi="宋体" w:cs="宋体"/>
                <w:color w:val="000000"/>
                <w:kern w:val="21"/>
                <w:sz w:val="24"/>
                <w:szCs w:val="24"/>
              </w:rPr>
              <w:t>。</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5</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20</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应该食品留样的餐饮单位留样不符合规范要求。</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21</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专间或专用操作场所存在以下问题之一的：（</w:t>
            </w:r>
            <w:r>
              <w:rPr>
                <w:rFonts w:ascii="宋体" w:hAnsi="宋体" w:cs="宋体"/>
                <w:color w:val="000000"/>
                <w:kern w:val="21"/>
                <w:sz w:val="24"/>
                <w:szCs w:val="24"/>
              </w:rPr>
              <w:t>1</w:t>
            </w:r>
            <w:r>
              <w:rPr>
                <w:rFonts w:hint="eastAsia" w:ascii="宋体" w:hAnsi="宋体" w:cs="宋体"/>
                <w:color w:val="000000"/>
                <w:kern w:val="21"/>
                <w:sz w:val="24"/>
                <w:szCs w:val="24"/>
              </w:rPr>
              <w:t>）未配备符合许可标准要求的专间或专用操作场所与专用设施；（</w:t>
            </w:r>
            <w:r>
              <w:rPr>
                <w:rFonts w:ascii="宋体" w:hAnsi="宋体" w:cs="宋体"/>
                <w:color w:val="000000"/>
                <w:kern w:val="21"/>
                <w:sz w:val="24"/>
                <w:szCs w:val="24"/>
              </w:rPr>
              <w:t>2</w:t>
            </w:r>
            <w:r>
              <w:rPr>
                <w:rFonts w:hint="eastAsia" w:ascii="宋体" w:hAnsi="宋体" w:cs="宋体"/>
                <w:color w:val="000000"/>
                <w:kern w:val="21"/>
                <w:sz w:val="24"/>
                <w:szCs w:val="24"/>
              </w:rPr>
              <w:t>）加工制作过程不符合规范要求，存在污染成品的食品安全的情形。</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spacing w:val="-2"/>
                <w:kern w:val="0"/>
                <w:sz w:val="24"/>
                <w:szCs w:val="24"/>
              </w:rPr>
              <w:t>八</w:t>
            </w:r>
            <w:r>
              <w:rPr>
                <w:rFonts w:hint="eastAsia" w:ascii="宋体" w:hAnsi="宋体" w:cs="宋体"/>
                <w:color w:val="000000"/>
                <w:spacing w:val="-2"/>
                <w:kern w:val="21"/>
                <w:sz w:val="24"/>
                <w:szCs w:val="24"/>
              </w:rPr>
              <w:t>、场所及设施</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22</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spacing w:val="-2"/>
                <w:kern w:val="21"/>
                <w:sz w:val="24"/>
                <w:szCs w:val="24"/>
              </w:rPr>
            </w:pPr>
            <w:r>
              <w:rPr>
                <w:rFonts w:hint="eastAsia" w:ascii="宋体" w:hAnsi="宋体" w:cs="宋体"/>
                <w:color w:val="000000"/>
                <w:spacing w:val="-2"/>
                <w:kern w:val="21"/>
                <w:sz w:val="24"/>
                <w:szCs w:val="24"/>
              </w:rPr>
              <w:t>用于清洗、加工、贮存、陈列、防尘、防蝇、防鼠和防虫、通风、排烟、照明等设施或场所设置不符合实际经</w:t>
            </w:r>
            <w:r>
              <w:rPr>
                <w:rFonts w:hint="eastAsia" w:ascii="宋体" w:hAnsi="宋体" w:cs="宋体"/>
                <w:color w:val="000000"/>
                <w:spacing w:val="-3"/>
                <w:kern w:val="21"/>
                <w:sz w:val="24"/>
                <w:szCs w:val="24"/>
              </w:rPr>
              <w:t>营许可需要或不能正常使用；冷藏、热保存设施数量或大小不能满足生熟分开存放，有蟑螂、老鼠等有害生物。</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23</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盛放原料、半成品、成品的容器和使用的工具、设备，无明显标识或未分开使用。</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1</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24</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食品处理区未设置能正常运转、足够数量的洗手设施（含洗手、干手设施）；专间和专用操作区入口处未设置能正常使用的洗手消毒设施（含洗手、干手、消毒设施）。</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rPr>
                <w:rFonts w:ascii="宋体" w:hAnsi="宋体" w:cs="宋体"/>
                <w:color w:val="000000"/>
                <w:sz w:val="24"/>
                <w:szCs w:val="24"/>
              </w:rPr>
            </w:pP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25</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sz w:val="24"/>
                <w:szCs w:val="24"/>
              </w:rPr>
              <w:t>直接接触食品的容器、工具和包装材料不符合食品安全标准或要求，未保持清洁。</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pacing w:val="-2"/>
                <w:kern w:val="21"/>
                <w:sz w:val="24"/>
                <w:szCs w:val="24"/>
              </w:rPr>
            </w:pPr>
            <w:r>
              <w:rPr>
                <w:rFonts w:hint="eastAsia" w:ascii="宋体" w:hAnsi="宋体" w:cs="宋体"/>
                <w:color w:val="000000"/>
                <w:spacing w:val="-2"/>
                <w:kern w:val="21"/>
                <w:sz w:val="24"/>
                <w:szCs w:val="24"/>
              </w:rPr>
              <w:t>九、餐饮具洗消</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26</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kern w:val="0"/>
                <w:sz w:val="24"/>
                <w:szCs w:val="24"/>
              </w:rPr>
              <w:t>餐具、饮具和盛放直接入口食品的容器使用前未按要求洗净消毒和保洁的；购置、使用集中消毒企业供应的餐具、饮具，未查验其经营资质、索取消毒合格凭证的。</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kern w:val="0"/>
                <w:sz w:val="24"/>
                <w:szCs w:val="24"/>
              </w:rPr>
            </w:pPr>
            <w:r>
              <w:rPr>
                <w:rFonts w:hint="eastAsia" w:ascii="宋体" w:hAnsi="宋体" w:cs="宋体"/>
                <w:color w:val="000000"/>
                <w:spacing w:val="-6"/>
                <w:kern w:val="21"/>
                <w:sz w:val="24"/>
                <w:szCs w:val="24"/>
              </w:rPr>
              <w:t>十、集体用餐配</w:t>
            </w:r>
            <w:r>
              <w:rPr>
                <w:rFonts w:hint="eastAsia" w:ascii="宋体" w:hAnsi="宋体" w:cs="宋体"/>
                <w:color w:val="000000"/>
                <w:kern w:val="0"/>
                <w:sz w:val="24"/>
                <w:szCs w:val="24"/>
              </w:rPr>
              <w:t>送、中央厨房</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27</w:t>
            </w:r>
          </w:p>
        </w:tc>
        <w:tc>
          <w:tcPr>
            <w:tcW w:w="1017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kern w:val="0"/>
                <w:sz w:val="24"/>
                <w:szCs w:val="24"/>
              </w:rPr>
              <w:t>集体用餐配送、中央厨房等有关食品运输过程的车辆、贮存、包装或容器、标识、温度、时间、禁止配送品种、检验不符合规范要求。</w:t>
            </w:r>
          </w:p>
        </w:tc>
        <w:tc>
          <w:tcPr>
            <w:tcW w:w="10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pacing w:line="300" w:lineRule="exact"/>
              <w:ind w:left="42" w:leftChars="20" w:right="42" w:rightChars="20"/>
              <w:textAlignment w:val="center"/>
              <w:rPr>
                <w:rFonts w:ascii="宋体" w:hAnsi="宋体" w:cs="宋体"/>
                <w:color w:val="000000"/>
                <w:spacing w:val="-4"/>
                <w:kern w:val="21"/>
                <w:sz w:val="24"/>
                <w:szCs w:val="24"/>
              </w:rPr>
            </w:pPr>
            <w:r>
              <w:rPr>
                <w:rFonts w:hint="eastAsia" w:ascii="宋体" w:hAnsi="宋体" w:cs="宋体"/>
                <w:color w:val="000000"/>
                <w:spacing w:val="-4"/>
                <w:kern w:val="21"/>
                <w:sz w:val="24"/>
                <w:szCs w:val="24"/>
              </w:rPr>
              <w:t>十</w:t>
            </w:r>
            <w:r>
              <w:rPr>
                <w:rFonts w:hint="eastAsia" w:ascii="宋体" w:hAnsi="宋体" w:cs="宋体"/>
                <w:color w:val="000000"/>
                <w:spacing w:val="-2"/>
                <w:kern w:val="21"/>
                <w:sz w:val="24"/>
                <w:szCs w:val="24"/>
              </w:rPr>
              <w:t>一、网络订餐</w:t>
            </w:r>
          </w:p>
        </w:tc>
        <w:tc>
          <w:tcPr>
            <w:tcW w:w="71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sz w:val="24"/>
                <w:szCs w:val="24"/>
              </w:rPr>
              <w:t>28</w:t>
            </w:r>
          </w:p>
        </w:tc>
        <w:tc>
          <w:tcPr>
            <w:tcW w:w="10172"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kern w:val="0"/>
                <w:sz w:val="24"/>
                <w:szCs w:val="24"/>
              </w:rPr>
              <w:t>网络供餐未取得“网络经营”许可，未在经营行为主页面公示其食品经营许可证、食品安全量化等级等信息；无保证食品安全的送餐措施或未委托具备相应运输能力的企业送餐。</w:t>
            </w:r>
          </w:p>
        </w:tc>
        <w:tc>
          <w:tcPr>
            <w:tcW w:w="1016" w:type="dxa"/>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211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tabs>
                <w:tab w:val="center" w:pos="4153"/>
                <w:tab w:val="right" w:pos="8306"/>
              </w:tabs>
              <w:kinsoku/>
              <w:wordWrap/>
              <w:overflowPunct/>
              <w:topLinePunct w:val="0"/>
              <w:autoSpaceDE/>
              <w:autoSpaceDN/>
              <w:bidi w:val="0"/>
              <w:adjustRightInd/>
              <w:spacing w:line="300" w:lineRule="exact"/>
              <w:ind w:left="-42" w:leftChars="-20" w:right="42" w:rightChars="20"/>
              <w:rPr>
                <w:rFonts w:hint="eastAsia" w:ascii="宋体" w:hAnsi="宋体" w:eastAsia="宋体" w:cs="宋体"/>
                <w:color w:val="000000"/>
                <w:sz w:val="24"/>
                <w:szCs w:val="24"/>
                <w:lang w:eastAsia="zh-CN"/>
              </w:rPr>
            </w:pPr>
            <w:r>
              <w:rPr>
                <w:rFonts w:hint="eastAsia" w:ascii="宋体" w:hAnsi="宋体" w:cs="宋体"/>
                <w:color w:val="000000"/>
                <w:sz w:val="24"/>
                <w:szCs w:val="24"/>
              </w:rPr>
              <w:t>十二、</w:t>
            </w:r>
            <w:r>
              <w:rPr>
                <w:rFonts w:hint="eastAsia" w:ascii="宋体" w:hAnsi="宋体" w:cs="宋体"/>
                <w:color w:val="000000"/>
                <w:sz w:val="24"/>
                <w:szCs w:val="24"/>
                <w:lang w:eastAsia="zh-CN"/>
              </w:rPr>
              <w:t>否决情形</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29</w:t>
            </w:r>
          </w:p>
        </w:tc>
        <w:tc>
          <w:tcPr>
            <w:tcW w:w="1017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21"/>
                <w:sz w:val="24"/>
                <w:szCs w:val="24"/>
              </w:rPr>
              <w:t>存在以下问题之一的：</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造成集体性食物中毒食品安全事故</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lang w:eastAsia="zh-CN"/>
              </w:rPr>
              <w:t>）发生食品安全舆情事件并造成严重不良影响的</w:t>
            </w:r>
            <w:r>
              <w:rPr>
                <w:rFonts w:hint="eastAsia" w:ascii="宋体" w:hAnsi="宋体" w:cs="宋体"/>
                <w:color w:val="000000"/>
                <w:kern w:val="0"/>
                <w:sz w:val="24"/>
                <w:szCs w:val="24"/>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20</w:t>
            </w:r>
          </w:p>
        </w:tc>
      </w:tr>
    </w:tbl>
    <w:p>
      <w:pPr>
        <w:keepNext w:val="0"/>
        <w:keepLines w:val="0"/>
        <w:pageBreakBefore w:val="0"/>
        <w:kinsoku/>
        <w:wordWrap/>
        <w:overflowPunct/>
        <w:topLinePunct w:val="0"/>
        <w:autoSpaceDE/>
        <w:autoSpaceDN/>
        <w:bidi w:val="0"/>
        <w:adjustRightInd/>
        <w:spacing w:line="300" w:lineRule="exact"/>
        <w:ind w:firstLine="560" w:firstLineChars="200"/>
        <w:rPr>
          <w:rFonts w:hint="eastAsia" w:ascii="宋体" w:hAnsi="宋体" w:eastAsia="宋体" w:cs="宋体"/>
          <w:color w:val="000000"/>
          <w:sz w:val="28"/>
          <w:szCs w:val="28"/>
        </w:rPr>
      </w:pPr>
    </w:p>
    <w:p>
      <w:pPr>
        <w:keepNext w:val="0"/>
        <w:keepLines w:val="0"/>
        <w:pageBreakBefore w:val="0"/>
        <w:kinsoku/>
        <w:wordWrap/>
        <w:overflowPunct/>
        <w:topLinePunct w:val="0"/>
        <w:autoSpaceDE/>
        <w:autoSpaceDN/>
        <w:bidi w:val="0"/>
        <w:adjustRightInd/>
        <w:spacing w:line="300" w:lineRule="exact"/>
        <w:ind w:firstLine="560" w:firstLineChars="200"/>
        <w:rPr>
          <w:rFonts w:hint="eastAsia" w:ascii="宋体" w:hAnsi="宋体" w:eastAsia="宋体" w:cs="宋体"/>
          <w:color w:val="000000"/>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zMwZDFhY2FmMWVjODEyOGJiMTYxMzc1MjMzMjYifQ=="/>
  </w:docVars>
  <w:rsids>
    <w:rsidRoot w:val="06C207AA"/>
    <w:rsid w:val="005E0AA6"/>
    <w:rsid w:val="01152AF1"/>
    <w:rsid w:val="028346AF"/>
    <w:rsid w:val="035A2E3C"/>
    <w:rsid w:val="04DF2BB8"/>
    <w:rsid w:val="06C207AA"/>
    <w:rsid w:val="077B0190"/>
    <w:rsid w:val="0A6C2012"/>
    <w:rsid w:val="0B113DED"/>
    <w:rsid w:val="0C9E5D48"/>
    <w:rsid w:val="12463148"/>
    <w:rsid w:val="12AA7B7B"/>
    <w:rsid w:val="12B427A8"/>
    <w:rsid w:val="12C30C3D"/>
    <w:rsid w:val="177E3384"/>
    <w:rsid w:val="191F46F3"/>
    <w:rsid w:val="1B207C5E"/>
    <w:rsid w:val="266D4CF0"/>
    <w:rsid w:val="29DB03AA"/>
    <w:rsid w:val="30C65728"/>
    <w:rsid w:val="32290665"/>
    <w:rsid w:val="350F7D2D"/>
    <w:rsid w:val="38740160"/>
    <w:rsid w:val="39400706"/>
    <w:rsid w:val="3BCE7B87"/>
    <w:rsid w:val="40A25836"/>
    <w:rsid w:val="410B7187"/>
    <w:rsid w:val="432D09BF"/>
    <w:rsid w:val="451A7F8B"/>
    <w:rsid w:val="46D85D5E"/>
    <w:rsid w:val="471843AC"/>
    <w:rsid w:val="4767350E"/>
    <w:rsid w:val="4ED41501"/>
    <w:rsid w:val="53202F66"/>
    <w:rsid w:val="53E126F6"/>
    <w:rsid w:val="542B4BA6"/>
    <w:rsid w:val="555313D1"/>
    <w:rsid w:val="557023E2"/>
    <w:rsid w:val="5A9D30EE"/>
    <w:rsid w:val="5E702CD8"/>
    <w:rsid w:val="60822B6A"/>
    <w:rsid w:val="60E9485E"/>
    <w:rsid w:val="62B153C1"/>
    <w:rsid w:val="651027B1"/>
    <w:rsid w:val="673F17B5"/>
    <w:rsid w:val="678674F9"/>
    <w:rsid w:val="682D7860"/>
    <w:rsid w:val="684A0C2E"/>
    <w:rsid w:val="69227F6D"/>
    <w:rsid w:val="6B50268E"/>
    <w:rsid w:val="6D231231"/>
    <w:rsid w:val="700A622D"/>
    <w:rsid w:val="758C6668"/>
    <w:rsid w:val="7A5A50FB"/>
    <w:rsid w:val="7D1463FC"/>
    <w:rsid w:val="7D39428C"/>
    <w:rsid w:val="7F46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2338</Words>
  <Characters>2373</Characters>
  <Lines>0</Lines>
  <Paragraphs>0</Paragraphs>
  <TotalTime>1</TotalTime>
  <ScaleCrop>false</ScaleCrop>
  <LinksUpToDate>false</LinksUpToDate>
  <CharactersWithSpaces>2373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2019-12-23T02:49:00Z</dcterms:created>
  <dc:creator>Jus</dc:creator>
  <cp:lastModifiedBy>秦怀庆</cp:lastModifiedBy>
  <cp:lastPrinted>2023-09-20T01:30:00Z</cp:lastPrinted>
  <dcterms:modified xsi:type="dcterms:W3CDTF">2023-09-20T07:30:31Z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76E91AB2D0EF499E82557960262A8EDE_13</vt:lpwstr>
  </property>
</Properties>
</file>