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500" w:lineRule="exact"/>
        <w:jc w:val="center"/>
        <w:rPr>
          <w:rFonts w:hint="default" w:eastAsia="方正小标宋简体"/>
          <w:color w:val="FF0000"/>
          <w:w w:val="53"/>
          <w:kern w:val="0"/>
          <w:sz w:val="140"/>
          <w:lang w:val="en-US" w:eastAsia="zh-CN"/>
        </w:rPr>
      </w:pPr>
      <w:r>
        <w:rPr>
          <w:rFonts w:hint="eastAsia" w:eastAsia="方正小标宋简体"/>
          <w:color w:val="FF0000"/>
          <w:w w:val="53"/>
          <w:kern w:val="0"/>
          <w:sz w:val="140"/>
          <w:lang w:val="en-US" w:eastAsia="zh-CN"/>
        </w:rPr>
        <w:t>淮北市市场监督管理局文件</w:t>
      </w:r>
    </w:p>
    <w:p>
      <w:pPr>
        <w:widowControl w:val="0"/>
        <w:spacing w:line="580" w:lineRule="exact"/>
        <w:rPr>
          <w:rFonts w:hint="default"/>
          <w:sz w:val="21"/>
          <w:lang w:val="en-US" w:eastAsia="zh-CN"/>
        </w:rPr>
      </w:pPr>
    </w:p>
    <w:p>
      <w:pPr>
        <w:widowControl w:val="0"/>
        <w:spacing w:line="580" w:lineRule="exact"/>
        <w:rPr>
          <w:rFonts w:hint="default"/>
          <w:sz w:val="21"/>
          <w:lang w:val="en-US" w:eastAsia="zh-CN"/>
        </w:rPr>
      </w:pPr>
    </w:p>
    <w:p>
      <w:pPr>
        <w:widowControl w:val="0"/>
        <w:spacing w:line="580" w:lineRule="exact"/>
        <w:rPr>
          <w:rFonts w:hint="default"/>
          <w:sz w:val="21"/>
          <w:lang w:val="en-US" w:eastAsia="zh-CN"/>
        </w:rPr>
      </w:pPr>
    </w:p>
    <w:p>
      <w:pPr>
        <w:widowControl w:val="0"/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lang w:val="zh-CN" w:eastAsia="zh-CN"/>
        </w:rPr>
        <w:t>淮北市监〔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lang w:val="zh-CN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sz w:val="32"/>
          <w:lang w:val="zh-CN" w:eastAsia="zh-CN"/>
        </w:rPr>
        <w:t>号</w:t>
      </w:r>
    </w:p>
    <w:p>
      <w:pPr>
        <w:widowControl w:val="0"/>
        <w:rPr>
          <w:rFonts w:hint="default" w:eastAsia="方正小标宋简体"/>
          <w:color w:val="auto"/>
          <w:sz w:val="44"/>
          <w:lang w:val="en-US" w:eastAsia="zh-CN"/>
        </w:rPr>
      </w:pPr>
      <w:r>
        <w:rPr>
          <w:rFonts w:hint="default"/>
          <w:sz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760085" cy="0"/>
                <wp:effectExtent l="0" t="12700" r="12065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4.6pt;height:0pt;width:453.55pt;z-index:251659264;mso-width-relative:page;mso-height-relative:page;" filled="f" stroked="t" coordsize="21600,21600" o:gfxdata="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c+wUdQAAAAG&#10;AQAADwAAAAAAAAABACAAAAAiAAAAZHJzL2Rvd25yZXYueG1sUEsBAhQAFAAAAAgAh07iQER+CIPn&#10;AQAArwMAAA4AAAAAAAAAAQAgAAAAIwEAAGRycy9lMm9Eb2MueG1sUEsFBgAAAAAGAAYAWQEAAHwF&#10;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19" w:beforeLines="70" w:line="578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关于开展2022年度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淮北市质量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发展和品牌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创建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奖励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相关项目申报工作的通知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各县区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市场监管局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，市高新区、煤化工基地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管委会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，市直有关单位、有关企业：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pacing w:beforeAutospacing="0" w:afterAutospacing="0" w:line="578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 xml:space="preserve">    为贯彻落实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淮北市支持质量发展和品牌创建奖励办法》（淮政办〔2022〕3 号）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精神，经研究，决定开展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淮北市质量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发展和品牌创建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奖励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相关项目申报工作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。现就申报工作的有关要求通知如下：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一、总体要求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各单位要按照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淮北市支持质量发展和品牌创建奖励办法》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要求，充分发挥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质量发展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政策的引导和激励作用，切实把政策宣传到位，落实到位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质量发展和品牌创建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强市建设，促进我市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质量发展和品牌创建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能力不断提升，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推动地方经济高质量发展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二、申报主体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淮北市辖区内的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高校、科研院所、社会团体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经济开发区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以及户籍在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淮北市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的个人。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三、申报范围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年1月1日至202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年12月31日，符合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淮北市支持质量发展和品牌创建奖励办法》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相关规定的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、申报事项及提交材料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通用要求：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在淮北市本地经营且符合申报条件的企业，均可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申报支持资金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。申报时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需提供以下基本材料：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县区（包括市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区、新型煤化工合成材料基地，下同）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市场监管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初审推荐函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申报单位的资金申请表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企业法人营业执照副本复印件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（个人项目提供身份证复印件）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snapToGrid w:val="0"/>
        <w:spacing w:line="578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2022年度纳税证明或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企业上一年度经审计的财务报告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称号类除外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申报单位和其法定代表人对申报材料真实性的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承诺书并加盖单位公章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限制性条件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有下列情形之一的企业和项目，不得申报资金奖补：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 自20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年1月1日以来，在生产经营中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存在严重违纪、违法等问题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发生重大生产安全事故、环境污染事故和存在严重产品质量等问题的；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 自20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年1月1日以来，单位或法定代表人被纳入严重失信“黑名单”的；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三年内申报省市各类政策时提供过虚假资料的；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 不符合国家和省产业政策的。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（三）支持质量品牌项目建设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支持争创政府质量奖：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申报条件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国务院、省、市政府评选认定政府质量奖获奖组织、个人。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（2） 申报材料：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国务院、省、市政府评选认定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文件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、证书（查验原件留存复印件）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1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color w:val="000000"/>
          <w:kern w:val="1"/>
          <w:sz w:val="32"/>
          <w:szCs w:val="32"/>
          <w:lang w:eastAsia="zh-CN"/>
        </w:rPr>
        <w:t>支持品牌创建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申报条件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安徽省市场监督管理局新认定的“皖美品牌”示范企业。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申报材料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安徽省市场监督管理局新认定的“皖美品牌”示范企业文件、证书（复印件）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1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color w:val="000000"/>
          <w:kern w:val="1"/>
          <w:sz w:val="32"/>
          <w:szCs w:val="32"/>
          <w:lang w:eastAsia="zh-CN"/>
        </w:rPr>
        <w:t>支持检验检测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 xml:space="preserve">建设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申报条件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首次获得新认定国家级、省级检验检测中心（机构）资质、新认定的 CNAS（中国合格评定国家认可委员会）实验室、对新获得资质认定（CMA）的检验检测机构。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leftChars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申报材料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检验检测机构资质认定证书或认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机构批准文件，以及其他相关资质的证明文件等复印件；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机构投资总额的相关证明材料复印件。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支持计量体系建设：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申报条件：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按照ISO10012《测量管理体系测量过程和测量设备的要求》及GB/T19022相关标准要求，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2022年度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新获得AAA、AA、A测量管理体系的企业。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申报材料：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测量管理体系认证审核书面通知材料（复印件）；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测量管理体系认证证书（审核原件，留存复印件）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支持管理体系认证：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申报条件：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首次通过质量管理体系认证且体系持续有效运行一年以上企业、首次获得绿色产品认证的企业。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申报材料：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质量管理体系认证证书或绿色产品认证证书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，以及其他相关资质的证明文件等复印件；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、申报时间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自本通知印发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之日起至202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日，逾期不予受理。其中，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日前申报单位或个人将纸质材料报送县、区（高新区）市场监管局，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日前，县、区（高新区）市场监管局将申报材料汇总审核后，出具初审推荐函，报送市市场监管局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、申报方式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申报主体登录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淮北市市场监管局网站，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下载申请表，填报纸质材料签字盖章，与其他材料装订成册后，一式两份报送至县、区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（高新区）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市场监管局。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、审核程序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项目审核按照“纸质申报、分级审核、部门联审、媒体公示、会议审定”的程序执行。县、区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（高新区）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场监管局对申报材料的完整性、合规性等进行初审，并汇总上报市市场监管局；市市场监管局组织相关科室对申报材料进行审核，并与市财政局会商后，向社会公示；公示无异议或对异议复审后，按程序拨付兑现资金。同一企业、同一当事人，同一项目就高奖补，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重复申报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；同一项目已获省级奖补的，不予重复奖补，不得重复申报。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质量发展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科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刘庆峰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0561-3236660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lef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2.认证认可科  程  俊 0561-3236206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lef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3.计  量  科  谢  颖0561-3236661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信用承诺书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3.奖补项目初审汇总表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78" w:lineRule="exact"/>
        <w:ind w:left="0" w:lef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2023年8月9日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淮北市支持质量发展和品牌创建奖励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50" w:line="420" w:lineRule="exact"/>
        <w:rPr>
          <w:rFonts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申报单位(公章):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kern w:val="0"/>
          <w:sz w:val="22"/>
          <w:szCs w:val="22"/>
        </w:rPr>
        <w:t>单位:万元</w:t>
      </w:r>
    </w:p>
    <w:tbl>
      <w:tblPr>
        <w:tblStyle w:val="7"/>
        <w:tblW w:w="90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3212"/>
        <w:gridCol w:w="1590"/>
        <w:gridCol w:w="29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3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申请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2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申请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资金金额</w:t>
            </w:r>
          </w:p>
        </w:tc>
        <w:tc>
          <w:tcPr>
            <w:tcW w:w="29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3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申请者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32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信用代码</w:t>
            </w:r>
          </w:p>
        </w:tc>
        <w:tc>
          <w:tcPr>
            <w:tcW w:w="29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3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32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法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定代表人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9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3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项目联系人</w:t>
            </w:r>
          </w:p>
        </w:tc>
        <w:tc>
          <w:tcPr>
            <w:tcW w:w="32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29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3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收款账户</w:t>
            </w:r>
          </w:p>
        </w:tc>
        <w:tc>
          <w:tcPr>
            <w:tcW w:w="32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29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3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银行账号</w:t>
            </w:r>
          </w:p>
        </w:tc>
        <w:tc>
          <w:tcPr>
            <w:tcW w:w="770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  <w:jc w:val="center"/>
        </w:trPr>
        <w:tc>
          <w:tcPr>
            <w:tcW w:w="13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县、区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（高新区）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市场监管部门意见</w:t>
            </w:r>
          </w:p>
        </w:tc>
        <w:tc>
          <w:tcPr>
            <w:tcW w:w="770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（公章）：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  <w:jc w:val="center"/>
        </w:trPr>
        <w:tc>
          <w:tcPr>
            <w:tcW w:w="13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淮北市市场监管局意见</w:t>
            </w:r>
          </w:p>
        </w:tc>
        <w:tc>
          <w:tcPr>
            <w:tcW w:w="770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（公章）：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rPr>
          <w:rFonts w:ascii="宋体" w:hAnsi="宋体" w:eastAsia="宋体" w:cs="宋体"/>
          <w:b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formProt w:val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90" w:lineRule="atLeast"/>
        <w:jc w:val="left"/>
        <w:rPr>
          <w:rFonts w:ascii="宋体" w:hAnsi="宋体" w:cs="宋体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淮北市支持质量发展和品牌创建奖励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项目申报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信用承诺书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90" w:lineRule="atLeast"/>
        <w:ind w:firstLine="4480" w:firstLineChars="14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我单位（个人）声明：此次申报202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淮北市支持质量发展和品牌创建奖励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，所提交的申报资料真实、合法、有效，并对所提供资料的真实性负责。本单位（个人）无不良信用记录，如有不实之处，</w:t>
      </w:r>
      <w:r>
        <w:rPr>
          <w:rFonts w:eastAsia="仿宋_GB2312"/>
          <w:sz w:val="32"/>
          <w:szCs w:val="32"/>
          <w:shd w:val="clear" w:color="auto" w:fill="FFFFFF"/>
        </w:rPr>
        <w:t>愿负相应的法律责任，并承担由此产生的一切后果。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特此承诺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39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jc w:val="lef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法定代表人（个人）签字：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jc w:val="lef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         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（单位公章）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        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eastAsia"/>
          <w:lang w:eastAsia="zh-CN"/>
        </w:rPr>
        <w:sectPr>
          <w:footerReference r:id="rId5" w:type="default"/>
          <w:pgSz w:w="11906" w:h="16838"/>
          <w:pgMar w:top="1984" w:right="1474" w:bottom="1871" w:left="1587" w:header="851" w:footer="992" w:gutter="0"/>
          <w:pgNumType w:fmt="decimal"/>
          <w:cols w:space="0" w:num="1"/>
          <w:formProt w:val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淮北市支持质量发展和品牌创建奖励项目初审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填表单位（加盖公章）：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经办人：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填表日期：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年  月  日</w:t>
      </w:r>
    </w:p>
    <w:tbl>
      <w:tblPr>
        <w:tblStyle w:val="7"/>
        <w:tblW w:w="141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2268"/>
        <w:gridCol w:w="1531"/>
        <w:gridCol w:w="1500"/>
        <w:gridCol w:w="1928"/>
        <w:gridCol w:w="1375"/>
        <w:gridCol w:w="1459"/>
        <w:gridCol w:w="1701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top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eastAsia="zh-CN"/>
              </w:rPr>
              <w:t>申请者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top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申报项目名称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银行账号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初审核定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  <w:sectPr>
          <w:pgSz w:w="16838" w:h="11906" w:orient="landscape"/>
          <w:pgMar w:top="1587" w:right="1984" w:bottom="1474" w:left="1871" w:header="851" w:footer="992" w:gutter="0"/>
          <w:pgNumType w:fmt="decimal"/>
          <w:cols w:space="0" w:num="1"/>
          <w:formProt w:val="1"/>
          <w:rtlGutter w:val="0"/>
          <w:docGrid w:type="lines" w:linePitch="315" w:charSpace="0"/>
        </w:sect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ind w:leftChars="0" w:firstLine="640" w:firstLineChars="2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00" w:lineRule="exact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</w:p>
    <w:p>
      <w:pPr>
        <w:keepNext/>
        <w:keepLines/>
        <w:widowControl w:val="0"/>
        <w:spacing w:beforeLines="0" w:afterLines="0" w:line="560" w:lineRule="exact"/>
        <w:jc w:val="both"/>
        <w:textAlignment w:val="baseline"/>
        <w:rPr>
          <w:rFonts w:hint="eastAsia" w:ascii="Calibri" w:hAnsi="Calibri" w:eastAsia="宋体" w:cs="Times New Roman"/>
          <w:b/>
          <w:kern w:val="2"/>
          <w:sz w:val="21"/>
          <w:lang w:val="en-US" w:eastAsia="zh-CN"/>
        </w:rPr>
      </w:pPr>
    </w:p>
    <w:p>
      <w:pPr>
        <w:pageBreakBefore w:val="0"/>
        <w:widowControl w:val="0"/>
        <w:pBdr>
          <w:top w:val="single" w:color="auto" w:sz="4" w:space="0"/>
          <w:bottom w:val="single" w:color="auto" w:sz="4" w:space="0"/>
        </w:pBd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80" w:firstLineChars="100"/>
        <w:jc w:val="both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napToGrid w:val="0"/>
          <w:color w:val="auto"/>
          <w:kern w:val="2"/>
          <w:sz w:val="28"/>
          <w:szCs w:val="24"/>
          <w:lang w:val="en-US" w:eastAsia="zh-CN" w:bidi="ar-SA"/>
        </w:rPr>
        <w:t>淮北市市场监督管理局办公室              2023年8月9日印发</w:t>
      </w:r>
    </w:p>
    <w:sectPr>
      <w:footerReference r:id="rId6" w:type="default"/>
      <w:pgSz w:w="11906" w:h="16838"/>
      <w:pgMar w:top="2098" w:right="1474" w:bottom="1984" w:left="1587" w:header="851" w:footer="992" w:gutter="0"/>
      <w:pgNumType w:fmt="decimal"/>
      <w:cols w:space="0" w:num="1"/>
      <w:formProt w:val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20230810105848861"/>
    <w:docVar w:name="FileToLog" w:val="2023.8关于开展2022年度质量发展政策申报工作的通知(1).docx;20230810105848861"/>
  </w:docVars>
  <w:rsids>
    <w:rsidRoot w:val="0F5C2F18"/>
    <w:rsid w:val="02A05E6F"/>
    <w:rsid w:val="030D2AA9"/>
    <w:rsid w:val="031B0971"/>
    <w:rsid w:val="0362318D"/>
    <w:rsid w:val="047A70A5"/>
    <w:rsid w:val="05285CC6"/>
    <w:rsid w:val="0736098F"/>
    <w:rsid w:val="075A0B16"/>
    <w:rsid w:val="079E5307"/>
    <w:rsid w:val="09A25515"/>
    <w:rsid w:val="0B302D24"/>
    <w:rsid w:val="0E920BAF"/>
    <w:rsid w:val="0F523650"/>
    <w:rsid w:val="0F5C2F18"/>
    <w:rsid w:val="0FCE3CC2"/>
    <w:rsid w:val="107D2136"/>
    <w:rsid w:val="12E665D1"/>
    <w:rsid w:val="130148AC"/>
    <w:rsid w:val="13D973FA"/>
    <w:rsid w:val="158302E9"/>
    <w:rsid w:val="16446D2A"/>
    <w:rsid w:val="168A022E"/>
    <w:rsid w:val="17A121FC"/>
    <w:rsid w:val="182626CF"/>
    <w:rsid w:val="188D387C"/>
    <w:rsid w:val="19214BAF"/>
    <w:rsid w:val="1A227755"/>
    <w:rsid w:val="1A3E6166"/>
    <w:rsid w:val="1B1B61FD"/>
    <w:rsid w:val="1C716D71"/>
    <w:rsid w:val="1D3A0117"/>
    <w:rsid w:val="1E6002AA"/>
    <w:rsid w:val="21396CC5"/>
    <w:rsid w:val="21E30E74"/>
    <w:rsid w:val="2219386F"/>
    <w:rsid w:val="23616275"/>
    <w:rsid w:val="253F0546"/>
    <w:rsid w:val="257B1B11"/>
    <w:rsid w:val="25A40198"/>
    <w:rsid w:val="26707B2E"/>
    <w:rsid w:val="2A051A35"/>
    <w:rsid w:val="2A33558D"/>
    <w:rsid w:val="2A7C7A2E"/>
    <w:rsid w:val="2AD92CC3"/>
    <w:rsid w:val="2B586E4C"/>
    <w:rsid w:val="2BAD04D7"/>
    <w:rsid w:val="2BBD41FD"/>
    <w:rsid w:val="2F021A72"/>
    <w:rsid w:val="2F622F4F"/>
    <w:rsid w:val="2F704D52"/>
    <w:rsid w:val="2FEB60FF"/>
    <w:rsid w:val="2FFB0269"/>
    <w:rsid w:val="3032475C"/>
    <w:rsid w:val="30503E98"/>
    <w:rsid w:val="32BE0B0A"/>
    <w:rsid w:val="336D25D8"/>
    <w:rsid w:val="338E12CB"/>
    <w:rsid w:val="34996F36"/>
    <w:rsid w:val="363A7712"/>
    <w:rsid w:val="37790C35"/>
    <w:rsid w:val="389847B8"/>
    <w:rsid w:val="39136F22"/>
    <w:rsid w:val="3A5C1108"/>
    <w:rsid w:val="3A782239"/>
    <w:rsid w:val="3B646226"/>
    <w:rsid w:val="3E492DF8"/>
    <w:rsid w:val="3EAE123F"/>
    <w:rsid w:val="3FE80920"/>
    <w:rsid w:val="42B945AF"/>
    <w:rsid w:val="43491FB0"/>
    <w:rsid w:val="44A43340"/>
    <w:rsid w:val="464929CA"/>
    <w:rsid w:val="4A677011"/>
    <w:rsid w:val="4C761E61"/>
    <w:rsid w:val="4F2402D9"/>
    <w:rsid w:val="52F14E79"/>
    <w:rsid w:val="53CA2310"/>
    <w:rsid w:val="54EE4A4D"/>
    <w:rsid w:val="55CF0B79"/>
    <w:rsid w:val="57D335C1"/>
    <w:rsid w:val="5A9840F3"/>
    <w:rsid w:val="5C091DBC"/>
    <w:rsid w:val="5C2B2486"/>
    <w:rsid w:val="5C3D3FD8"/>
    <w:rsid w:val="5C766A6F"/>
    <w:rsid w:val="5CF616D7"/>
    <w:rsid w:val="5E5022BE"/>
    <w:rsid w:val="60723DFF"/>
    <w:rsid w:val="62FC744B"/>
    <w:rsid w:val="63E5119D"/>
    <w:rsid w:val="674F2432"/>
    <w:rsid w:val="67B36E10"/>
    <w:rsid w:val="67B96336"/>
    <w:rsid w:val="67CC6B48"/>
    <w:rsid w:val="68B347B7"/>
    <w:rsid w:val="69B402BD"/>
    <w:rsid w:val="6A4965D4"/>
    <w:rsid w:val="6BDD4C40"/>
    <w:rsid w:val="6DBC7CD0"/>
    <w:rsid w:val="6F7D1DB3"/>
    <w:rsid w:val="71197FD6"/>
    <w:rsid w:val="716A5FD3"/>
    <w:rsid w:val="72DA0E4B"/>
    <w:rsid w:val="72E04542"/>
    <w:rsid w:val="72FC11D8"/>
    <w:rsid w:val="73D131E3"/>
    <w:rsid w:val="7580684E"/>
    <w:rsid w:val="76413C96"/>
    <w:rsid w:val="77D172F0"/>
    <w:rsid w:val="78ED4157"/>
    <w:rsid w:val="7AEB7892"/>
    <w:rsid w:val="7BE6504A"/>
    <w:rsid w:val="7D7F16CC"/>
    <w:rsid w:val="7E0568D3"/>
    <w:rsid w:val="7E317383"/>
    <w:rsid w:val="7E8005FD"/>
    <w:rsid w:val="7F0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Times" w:hAnsi="Times"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2219</Words>
  <Characters>2338</Characters>
  <Lines>0</Lines>
  <Paragraphs>0</Paragraphs>
  <TotalTime>15</TotalTime>
  <ScaleCrop>false</ScaleCrop>
  <LinksUpToDate>false</LinksUpToDate>
  <CharactersWithSpaces>2554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2020-10-18T07:42:00Z</dcterms:created>
  <dc:creator>hbjwj</dc:creator>
  <cp:lastModifiedBy>陈飞</cp:lastModifiedBy>
  <cp:lastPrinted>2023-08-10T02:59:00Z</cp:lastPrinted>
  <dcterms:modified xsi:type="dcterms:W3CDTF">2023-08-10T06:37:07Z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