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淮北市“十四五”市场监管规划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“十四五”时期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是深入贯彻党的十九大和十九届</w:t>
      </w:r>
      <w:r>
        <w:rPr>
          <w:rFonts w:hint="eastAsia" w:ascii="仿宋_GB2312" w:hAnsi="仿宋_GB2312" w:eastAsia="仿宋_GB2312" w:cs="仿宋_GB2312"/>
          <w:color w:val="auto"/>
          <w:sz w:val="32"/>
          <w:szCs w:val="32"/>
          <w:highlight w:val="none"/>
          <w:lang w:eastAsia="zh-CN"/>
        </w:rPr>
        <w:t>历次</w:t>
      </w:r>
      <w:r>
        <w:rPr>
          <w:rFonts w:hint="eastAsia" w:ascii="仿宋_GB2312" w:hAnsi="仿宋_GB2312" w:eastAsia="仿宋_GB2312" w:cs="仿宋_GB2312"/>
          <w:color w:val="auto"/>
          <w:sz w:val="32"/>
          <w:szCs w:val="32"/>
          <w:highlight w:val="none"/>
        </w:rPr>
        <w:t>全会精神，全面落实习近平总书记考察安徽重要讲话指示</w:t>
      </w:r>
      <w:r>
        <w:rPr>
          <w:rFonts w:hint="eastAsia" w:ascii="仿宋_GB2312" w:hAnsi="仿宋_GB2312" w:eastAsia="仿宋_GB2312" w:cs="仿宋_GB2312"/>
          <w:color w:val="auto"/>
          <w:sz w:val="32"/>
          <w:szCs w:val="32"/>
          <w:highlight w:val="none"/>
          <w:lang w:eastAsia="zh-CN"/>
        </w:rPr>
        <w:t>批示</w:t>
      </w:r>
      <w:r>
        <w:rPr>
          <w:rFonts w:hint="eastAsia" w:ascii="仿宋_GB2312" w:hAnsi="仿宋_GB2312" w:eastAsia="仿宋_GB2312" w:cs="仿宋_GB2312"/>
          <w:color w:val="auto"/>
          <w:sz w:val="32"/>
          <w:szCs w:val="32"/>
          <w:highlight w:val="none"/>
        </w:rPr>
        <w:t>精神，强化“两个坚持”、实现“两个更大”</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奋力谱写经济强、百姓富、生态美的新阶段现代化美好</w:t>
      </w:r>
      <w:r>
        <w:rPr>
          <w:rFonts w:hint="eastAsia" w:ascii="仿宋_GB2312" w:hAnsi="仿宋_GB2312" w:eastAsia="仿宋_GB2312" w:cs="仿宋_GB2312"/>
          <w:color w:val="auto"/>
          <w:sz w:val="32"/>
          <w:szCs w:val="32"/>
          <w:highlight w:val="none"/>
          <w:lang w:eastAsia="zh-CN"/>
        </w:rPr>
        <w:t>淮北</w:t>
      </w:r>
      <w:r>
        <w:rPr>
          <w:rFonts w:hint="eastAsia" w:ascii="仿宋_GB2312" w:hAnsi="仿宋_GB2312" w:eastAsia="仿宋_GB2312" w:cs="仿宋_GB2312"/>
          <w:color w:val="auto"/>
          <w:sz w:val="32"/>
          <w:szCs w:val="32"/>
          <w:highlight w:val="none"/>
        </w:rPr>
        <w:t>的重要时期，也是我</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市场监管机构改革后的第一个五年规划期。根据《</w:t>
      </w:r>
      <w:r>
        <w:rPr>
          <w:rFonts w:hint="eastAsia" w:ascii="仿宋_GB2312" w:hAnsi="仿宋_GB2312" w:eastAsia="仿宋_GB2312" w:cs="仿宋_GB2312"/>
          <w:color w:val="auto"/>
          <w:sz w:val="32"/>
          <w:szCs w:val="32"/>
          <w:highlight w:val="none"/>
          <w:lang w:eastAsia="zh-CN"/>
        </w:rPr>
        <w:t>安徽省“十四五”市场监管规划</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eastAsia="zh-CN"/>
        </w:rPr>
        <w:t>淮北市</w:t>
      </w:r>
      <w:r>
        <w:rPr>
          <w:rFonts w:hint="eastAsia" w:ascii="仿宋_GB2312" w:hAnsi="仿宋_GB2312" w:eastAsia="仿宋_GB2312" w:cs="仿宋_GB2312"/>
          <w:color w:val="auto"/>
          <w:sz w:val="32"/>
          <w:szCs w:val="32"/>
          <w:highlight w:val="none"/>
        </w:rPr>
        <w:t>国民经济和社会发展第十四个五年规划和</w:t>
      </w:r>
      <w:r>
        <w:rPr>
          <w:rFonts w:hint="eastAsia" w:ascii="仿宋_GB2312" w:hAnsi="仿宋_GB2312" w:eastAsia="仿宋_GB2312" w:cs="仿宋_GB2312"/>
          <w:color w:val="auto"/>
          <w:sz w:val="32"/>
          <w:szCs w:val="32"/>
          <w:highlight w:val="none"/>
          <w:lang w:val="en-US" w:eastAsia="zh-CN"/>
        </w:rPr>
        <w:t>2035</w:t>
      </w:r>
      <w:r>
        <w:rPr>
          <w:rFonts w:hint="eastAsia" w:ascii="仿宋_GB2312" w:hAnsi="仿宋_GB2312" w:eastAsia="仿宋_GB2312" w:cs="仿宋_GB2312"/>
          <w:color w:val="auto"/>
          <w:sz w:val="32"/>
          <w:szCs w:val="32"/>
          <w:highlight w:val="none"/>
        </w:rPr>
        <w:t>年远景目标纲要》，制定本规划。</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2880" w:firstLineChars="800"/>
        <w:jc w:val="both"/>
        <w:textAlignment w:val="auto"/>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lang w:val="en-US" w:eastAsia="zh-CN"/>
        </w:rPr>
        <w:t>第一章 规划背景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黑体" w:eastAsia="黑体" w:cs="黑体"/>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eastAsia="黑体"/>
          <w:color w:val="auto"/>
          <w:sz w:val="32"/>
          <w:szCs w:val="32"/>
          <w:highlight w:val="none"/>
          <w:lang w:eastAsia="zh-CN"/>
        </w:rPr>
      </w:pPr>
      <w:r>
        <w:rPr>
          <w:rFonts w:hint="eastAsia" w:ascii="黑体" w:hAnsi="黑体" w:eastAsia="黑体" w:cs="黑体"/>
          <w:color w:val="auto"/>
          <w:sz w:val="32"/>
          <w:szCs w:val="32"/>
          <w:highlight w:val="none"/>
          <w:lang w:eastAsia="zh-CN"/>
        </w:rPr>
        <w:t>一、“十三五”时期取得的成就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8" w:lineRule="exact"/>
        <w:ind w:left="0" w:right="0" w:firstLine="555"/>
        <w:textAlignment w:val="auto"/>
        <w:rPr>
          <w:rFonts w:hint="eastAsia" w:ascii="仿宋_GB2312" w:hAnsi="微软雅黑" w:eastAsia="仿宋_GB2312" w:cs="仿宋_GB2312"/>
          <w:i w:val="0"/>
          <w:caps w:val="0"/>
          <w:color w:val="auto"/>
          <w:spacing w:val="0"/>
          <w:sz w:val="31"/>
          <w:szCs w:val="31"/>
          <w:highlight w:val="none"/>
          <w:shd w:val="clear" w:fill="FFFFFF"/>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十三五</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期间是全</w:t>
      </w:r>
      <w:r>
        <w:rPr>
          <w:rFonts w:hint="eastAsia" w:ascii="仿宋_GB2312" w:eastAsia="仿宋_GB2312"/>
          <w:color w:val="auto"/>
          <w:sz w:val="32"/>
          <w:szCs w:val="32"/>
          <w:highlight w:val="none"/>
          <w:lang w:eastAsia="zh-CN"/>
        </w:rPr>
        <w:t>市</w:t>
      </w:r>
      <w:r>
        <w:rPr>
          <w:rFonts w:hint="eastAsia" w:ascii="仿宋_GB2312" w:eastAsia="仿宋_GB2312"/>
          <w:color w:val="auto"/>
          <w:sz w:val="32"/>
          <w:szCs w:val="32"/>
          <w:highlight w:val="none"/>
        </w:rPr>
        <w:t>市场监管系统体制改革期、效能提升期。</w:t>
      </w:r>
      <w:r>
        <w:rPr>
          <w:rFonts w:hint="eastAsia" w:ascii="仿宋_GB2312" w:eastAsia="仿宋_GB2312"/>
          <w:color w:val="auto"/>
          <w:sz w:val="32"/>
          <w:szCs w:val="32"/>
          <w:highlight w:val="none"/>
          <w:lang w:eastAsia="zh-CN"/>
        </w:rPr>
        <w:t>全市市场监管系统坚持</w:t>
      </w:r>
      <w:r>
        <w:rPr>
          <w:rFonts w:hint="eastAsia" w:ascii="仿宋_GB2312" w:hAnsi="微软雅黑" w:eastAsia="仿宋_GB2312" w:cs="仿宋_GB2312"/>
          <w:i w:val="0"/>
          <w:caps w:val="0"/>
          <w:color w:val="auto"/>
          <w:spacing w:val="0"/>
          <w:sz w:val="31"/>
          <w:szCs w:val="31"/>
          <w:highlight w:val="none"/>
          <w:shd w:val="clear" w:fill="FFFFFF"/>
        </w:rPr>
        <w:t>以习近平新时代中国特色社会主义思想为</w:t>
      </w:r>
      <w:r>
        <w:rPr>
          <w:rFonts w:hint="eastAsia" w:ascii="仿宋_GB2312" w:hAnsi="微软雅黑" w:eastAsia="仿宋_GB2312" w:cs="仿宋_GB2312"/>
          <w:i w:val="0"/>
          <w:caps w:val="0"/>
          <w:color w:val="auto"/>
          <w:spacing w:val="0"/>
          <w:sz w:val="31"/>
          <w:szCs w:val="31"/>
          <w:highlight w:val="none"/>
          <w:shd w:val="clear" w:fill="FFFFFF"/>
          <w:lang w:eastAsia="zh-CN"/>
        </w:rPr>
        <w:t>引领</w:t>
      </w:r>
      <w:r>
        <w:rPr>
          <w:rFonts w:hint="eastAsia" w:ascii="仿宋_GB2312" w:hAnsi="微软雅黑" w:eastAsia="仿宋_GB2312" w:cs="仿宋_GB2312"/>
          <w:i w:val="0"/>
          <w:caps w:val="0"/>
          <w:color w:val="auto"/>
          <w:spacing w:val="0"/>
          <w:sz w:val="31"/>
          <w:szCs w:val="31"/>
          <w:highlight w:val="none"/>
          <w:shd w:val="clear" w:fill="FFFFFF"/>
        </w:rPr>
        <w:t>，</w:t>
      </w:r>
      <w:r>
        <w:rPr>
          <w:rFonts w:hint="eastAsia" w:ascii="仿宋_GB2312" w:eastAsia="仿宋_GB2312"/>
          <w:color w:val="auto"/>
          <w:sz w:val="32"/>
          <w:szCs w:val="32"/>
          <w:highlight w:val="none"/>
        </w:rPr>
        <w:t>在</w:t>
      </w:r>
      <w:r>
        <w:rPr>
          <w:rFonts w:hint="eastAsia" w:ascii="仿宋_GB2312" w:eastAsia="仿宋_GB2312"/>
          <w:color w:val="auto"/>
          <w:sz w:val="32"/>
          <w:szCs w:val="32"/>
          <w:highlight w:val="none"/>
          <w:lang w:eastAsia="zh-CN"/>
        </w:rPr>
        <w:t>市委、市政府</w:t>
      </w:r>
      <w:r>
        <w:rPr>
          <w:rFonts w:hint="eastAsia" w:ascii="仿宋_GB2312" w:eastAsia="仿宋_GB2312"/>
          <w:color w:val="auto"/>
          <w:sz w:val="32"/>
          <w:szCs w:val="32"/>
          <w:highlight w:val="none"/>
        </w:rPr>
        <w:t>的坚强领导下，</w:t>
      </w:r>
      <w:r>
        <w:rPr>
          <w:rFonts w:hint="eastAsia" w:ascii="仿宋_GB2312" w:eastAsia="仿宋_GB2312"/>
          <w:color w:val="auto"/>
          <w:sz w:val="32"/>
          <w:szCs w:val="32"/>
          <w:highlight w:val="none"/>
          <w:lang w:eastAsia="zh-CN"/>
        </w:rPr>
        <w:t>在国家总局和省局的有力指导下，</w:t>
      </w:r>
      <w:r>
        <w:rPr>
          <w:rFonts w:hint="eastAsia" w:ascii="仿宋_GB2312" w:eastAsia="仿宋_GB2312"/>
          <w:color w:val="auto"/>
          <w:sz w:val="32"/>
          <w:szCs w:val="32"/>
          <w:highlight w:val="none"/>
        </w:rPr>
        <w:t>紧紧围绕“</w:t>
      </w:r>
      <w:r>
        <w:rPr>
          <w:rFonts w:hint="eastAsia" w:ascii="仿宋_GB2312" w:hAnsi="仿宋" w:eastAsia="仿宋_GB2312"/>
          <w:color w:val="auto"/>
          <w:sz w:val="32"/>
          <w:szCs w:val="32"/>
          <w:highlight w:val="none"/>
        </w:rPr>
        <w:t>抓改革、优环境、促竞争、保安全、重维权</w:t>
      </w:r>
      <w:r>
        <w:rPr>
          <w:rFonts w:hint="eastAsia" w:ascii="仿宋_GB2312" w:eastAsia="仿宋_GB2312"/>
          <w:color w:val="auto"/>
          <w:sz w:val="32"/>
          <w:szCs w:val="32"/>
          <w:highlight w:val="none"/>
        </w:rPr>
        <w:t>、提质量、严监管、强队伍”总体思路，</w:t>
      </w:r>
      <w:r>
        <w:rPr>
          <w:rFonts w:hint="eastAsia" w:ascii="仿宋_GB2312" w:eastAsia="仿宋_GB2312"/>
          <w:color w:val="auto"/>
          <w:sz w:val="32"/>
          <w:szCs w:val="32"/>
          <w:highlight w:val="none"/>
          <w:lang w:val="en-US" w:eastAsia="zh-CN"/>
        </w:rPr>
        <w:t>服务全市经济社会发展的作用进一步凸显，</w:t>
      </w:r>
      <w:r>
        <w:rPr>
          <w:rFonts w:hint="eastAsia" w:ascii="仿宋_GB2312" w:hAnsi="微软雅黑" w:eastAsia="仿宋_GB2312" w:cs="仿宋_GB2312"/>
          <w:i w:val="0"/>
          <w:caps w:val="0"/>
          <w:color w:val="auto"/>
          <w:spacing w:val="0"/>
          <w:sz w:val="31"/>
          <w:szCs w:val="31"/>
          <w:highlight w:val="none"/>
          <w:shd w:val="clear" w:fill="FFFFFF"/>
        </w:rPr>
        <w:t>为“十四五”</w:t>
      </w:r>
      <w:r>
        <w:rPr>
          <w:rFonts w:hint="eastAsia" w:ascii="仿宋_GB2312" w:hAnsi="微软雅黑" w:eastAsia="仿宋_GB2312" w:cs="仿宋_GB2312"/>
          <w:i w:val="0"/>
          <w:caps w:val="0"/>
          <w:color w:val="auto"/>
          <w:spacing w:val="0"/>
          <w:sz w:val="31"/>
          <w:szCs w:val="31"/>
          <w:highlight w:val="none"/>
          <w:shd w:val="clear" w:fill="FFFFFF"/>
          <w:lang w:eastAsia="zh-CN"/>
        </w:rPr>
        <w:t>市场监管</w:t>
      </w:r>
      <w:r>
        <w:rPr>
          <w:rFonts w:hint="eastAsia" w:ascii="仿宋_GB2312" w:hAnsi="微软雅黑" w:eastAsia="仿宋_GB2312" w:cs="仿宋_GB2312"/>
          <w:i w:val="0"/>
          <w:caps w:val="0"/>
          <w:color w:val="auto"/>
          <w:spacing w:val="0"/>
          <w:sz w:val="31"/>
          <w:szCs w:val="31"/>
          <w:highlight w:val="none"/>
          <w:shd w:val="clear" w:fill="FFFFFF"/>
        </w:rPr>
        <w:t>发展奠定了良好基础。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8" w:lineRule="exact"/>
        <w:ind w:left="0" w:right="0" w:firstLine="555"/>
        <w:textAlignment w:val="auto"/>
        <w:rPr>
          <w:rFonts w:hint="eastAsia" w:ascii="仿宋_GB2312" w:hAnsi="微软雅黑" w:eastAsia="仿宋_GB2312" w:cs="仿宋_GB2312"/>
          <w:i w:val="0"/>
          <w:caps w:val="0"/>
          <w:color w:val="auto"/>
          <w:spacing w:val="0"/>
          <w:sz w:val="31"/>
          <w:szCs w:val="31"/>
          <w:highlight w:val="none"/>
          <w:shd w:val="clear" w:fill="FFFFFF"/>
          <w:lang w:val="en-US" w:eastAsia="zh-CN"/>
        </w:rPr>
      </w:pPr>
      <w:r>
        <w:rPr>
          <w:rFonts w:hint="eastAsia" w:ascii="楷体_GB2312" w:hAnsi="楷体_GB2312" w:eastAsia="楷体_GB2312" w:cs="楷体_GB2312"/>
          <w:i w:val="0"/>
          <w:caps w:val="0"/>
          <w:color w:val="auto"/>
          <w:spacing w:val="0"/>
          <w:sz w:val="32"/>
          <w:szCs w:val="32"/>
          <w:highlight w:val="none"/>
          <w:shd w:val="clear" w:fill="FFFFFF"/>
          <w:lang w:eastAsia="zh-CN"/>
        </w:rPr>
        <w:t>——</w:t>
      </w:r>
      <w:r>
        <w:rPr>
          <w:rFonts w:hint="eastAsia" w:ascii="楷体_GB2312" w:hAnsi="楷体_GB2312" w:eastAsia="楷体_GB2312" w:cs="楷体_GB2312"/>
          <w:b/>
          <w:bCs/>
          <w:color w:val="auto"/>
          <w:sz w:val="32"/>
          <w:szCs w:val="32"/>
          <w:highlight w:val="none"/>
        </w:rPr>
        <w:t>机构改革</w:t>
      </w:r>
      <w:r>
        <w:rPr>
          <w:rFonts w:hint="eastAsia" w:ascii="楷体_GB2312" w:hAnsi="楷体_GB2312" w:eastAsia="楷体_GB2312" w:cs="楷体_GB2312"/>
          <w:b/>
          <w:bCs/>
          <w:color w:val="auto"/>
          <w:sz w:val="32"/>
          <w:szCs w:val="32"/>
          <w:highlight w:val="none"/>
          <w:lang w:eastAsia="zh-CN"/>
        </w:rPr>
        <w:t>顺利完成。</w:t>
      </w:r>
      <w:r>
        <w:rPr>
          <w:rFonts w:hint="eastAsia" w:ascii="仿宋_GB2312" w:hAnsi="微软雅黑" w:eastAsia="仿宋_GB2312" w:cs="仿宋_GB2312"/>
          <w:i w:val="0"/>
          <w:caps w:val="0"/>
          <w:color w:val="auto"/>
          <w:spacing w:val="0"/>
          <w:sz w:val="31"/>
          <w:szCs w:val="31"/>
          <w:highlight w:val="none"/>
          <w:shd w:val="clear" w:fill="FFFFFF"/>
        </w:rPr>
        <w:t>立足构建“大市场、大质量、大监管”监管格局</w:t>
      </w:r>
      <w:r>
        <w:rPr>
          <w:rFonts w:hint="eastAsia" w:ascii="仿宋_GB2312" w:hAnsi="微软雅黑" w:eastAsia="仿宋_GB2312" w:cs="仿宋_GB2312"/>
          <w:i w:val="0"/>
          <w:caps w:val="0"/>
          <w:color w:val="auto"/>
          <w:spacing w:val="0"/>
          <w:sz w:val="31"/>
          <w:szCs w:val="31"/>
          <w:highlight w:val="none"/>
          <w:shd w:val="clear" w:fill="FFFFFF"/>
          <w:lang w:eastAsia="zh-CN"/>
        </w:rPr>
        <w:t>，全面完成工商行政管理、质量技术监督、食品药品监管、价格执法监督、知识产权、</w:t>
      </w:r>
      <w:r>
        <w:rPr>
          <w:rFonts w:hint="eastAsia" w:ascii="仿宋_GB2312" w:hAnsi="仿宋_GB2312" w:eastAsia="仿宋_GB2312" w:cs="仿宋_GB2312"/>
          <w:bCs/>
          <w:color w:val="auto"/>
          <w:kern w:val="0"/>
          <w:sz w:val="32"/>
          <w:szCs w:val="32"/>
          <w:highlight w:val="none"/>
          <w:lang w:val="zh-CN"/>
        </w:rPr>
        <w:t>盐政</w:t>
      </w:r>
      <w:r>
        <w:rPr>
          <w:rFonts w:hint="eastAsia" w:ascii="仿宋_GB2312" w:hAnsi="微软雅黑" w:eastAsia="仿宋_GB2312" w:cs="仿宋_GB2312"/>
          <w:i w:val="0"/>
          <w:caps w:val="0"/>
          <w:color w:val="auto"/>
          <w:spacing w:val="0"/>
          <w:sz w:val="31"/>
          <w:szCs w:val="31"/>
          <w:highlight w:val="none"/>
          <w:shd w:val="clear" w:fill="FFFFFF"/>
          <w:lang w:eastAsia="zh-CN"/>
        </w:rPr>
        <w:t>等领域市场监管职责整合，</w:t>
      </w:r>
      <w:r>
        <w:rPr>
          <w:rFonts w:hint="eastAsia" w:ascii="仿宋_GB2312" w:hAnsi="仿宋_GB2312" w:eastAsia="仿宋_GB2312" w:cs="仿宋_GB2312"/>
          <w:bCs/>
          <w:color w:val="auto"/>
          <w:kern w:val="0"/>
          <w:sz w:val="32"/>
          <w:szCs w:val="32"/>
          <w:highlight w:val="none"/>
          <w:lang w:val="zh-CN"/>
        </w:rPr>
        <w:t>于2019年2月</w:t>
      </w:r>
      <w:r>
        <w:rPr>
          <w:rFonts w:hint="eastAsia" w:ascii="仿宋_GB2312" w:hAnsi="仿宋_GB2312" w:eastAsia="仿宋_GB2312" w:cs="仿宋_GB2312"/>
          <w:bCs/>
          <w:color w:val="auto"/>
          <w:kern w:val="0"/>
          <w:sz w:val="32"/>
          <w:szCs w:val="32"/>
          <w:highlight w:val="none"/>
          <w:lang w:val="en-US" w:eastAsia="zh-CN"/>
        </w:rPr>
        <w:t>20日</w:t>
      </w:r>
      <w:r>
        <w:rPr>
          <w:rFonts w:hint="eastAsia" w:ascii="仿宋_GB2312" w:hAnsi="仿宋_GB2312" w:eastAsia="仿宋_GB2312" w:cs="仿宋_GB2312"/>
          <w:bCs/>
          <w:color w:val="auto"/>
          <w:kern w:val="0"/>
          <w:sz w:val="32"/>
          <w:szCs w:val="32"/>
          <w:highlight w:val="none"/>
          <w:lang w:val="zh-CN"/>
        </w:rPr>
        <w:t>淮北市市场监督管理局</w:t>
      </w:r>
      <w:r>
        <w:rPr>
          <w:rFonts w:hint="eastAsia" w:ascii="仿宋_GB2312" w:hAnsi="微软雅黑" w:eastAsia="仿宋_GB2312" w:cs="仿宋_GB2312"/>
          <w:i w:val="0"/>
          <w:caps w:val="0"/>
          <w:color w:val="auto"/>
          <w:spacing w:val="0"/>
          <w:sz w:val="31"/>
          <w:szCs w:val="31"/>
          <w:highlight w:val="none"/>
          <w:shd w:val="clear" w:fill="FFFFFF"/>
        </w:rPr>
        <w:t>正式挂牌成立</w:t>
      </w:r>
      <w:r>
        <w:rPr>
          <w:rFonts w:hint="eastAsia" w:ascii="仿宋_GB2312" w:hAnsi="微软雅黑" w:eastAsia="仿宋_GB2312" w:cs="仿宋_GB2312"/>
          <w:i w:val="0"/>
          <w:caps w:val="0"/>
          <w:color w:val="auto"/>
          <w:spacing w:val="0"/>
          <w:sz w:val="31"/>
          <w:szCs w:val="31"/>
          <w:highlight w:val="none"/>
          <w:shd w:val="clear" w:fill="FFFFFF"/>
          <w:lang w:eastAsia="zh-CN"/>
        </w:rPr>
        <w:t>，</w:t>
      </w:r>
      <w:r>
        <w:rPr>
          <w:rFonts w:hint="eastAsia" w:ascii="仿宋_GB2312" w:hAnsi="微软雅黑" w:eastAsia="仿宋_GB2312" w:cs="仿宋_GB2312"/>
          <w:i w:val="0"/>
          <w:caps w:val="0"/>
          <w:color w:val="auto"/>
          <w:spacing w:val="0"/>
          <w:sz w:val="31"/>
          <w:szCs w:val="31"/>
          <w:highlight w:val="none"/>
          <w:shd w:val="clear" w:fill="FFFFFF"/>
        </w:rPr>
        <w:t>2019年</w:t>
      </w:r>
      <w:r>
        <w:rPr>
          <w:rFonts w:hint="eastAsia" w:ascii="仿宋_GB2312" w:hAnsi="微软雅黑" w:eastAsia="仿宋_GB2312" w:cs="仿宋_GB2312"/>
          <w:i w:val="0"/>
          <w:caps w:val="0"/>
          <w:color w:val="auto"/>
          <w:spacing w:val="0"/>
          <w:sz w:val="31"/>
          <w:szCs w:val="31"/>
          <w:highlight w:val="none"/>
          <w:shd w:val="clear" w:fill="FFFFFF"/>
          <w:lang w:val="en-US" w:eastAsia="zh-CN"/>
        </w:rPr>
        <w:t>3</w:t>
      </w:r>
      <w:r>
        <w:rPr>
          <w:rFonts w:hint="eastAsia" w:ascii="仿宋_GB2312" w:hAnsi="微软雅黑" w:eastAsia="仿宋_GB2312" w:cs="仿宋_GB2312"/>
          <w:i w:val="0"/>
          <w:caps w:val="0"/>
          <w:color w:val="auto"/>
          <w:spacing w:val="0"/>
          <w:sz w:val="31"/>
          <w:szCs w:val="31"/>
          <w:highlight w:val="none"/>
          <w:shd w:val="clear" w:fill="FFFFFF"/>
        </w:rPr>
        <w:t>月“三定”</w:t>
      </w:r>
      <w:r>
        <w:rPr>
          <w:rFonts w:hint="eastAsia" w:ascii="仿宋_GB2312" w:hAnsi="微软雅黑" w:eastAsia="仿宋_GB2312" w:cs="仿宋_GB2312"/>
          <w:i w:val="0"/>
          <w:caps w:val="0"/>
          <w:color w:val="auto"/>
          <w:spacing w:val="0"/>
          <w:sz w:val="31"/>
          <w:szCs w:val="31"/>
          <w:highlight w:val="none"/>
          <w:shd w:val="clear" w:fill="FFFFFF"/>
          <w:lang w:eastAsia="zh-CN"/>
        </w:rPr>
        <w:t>规定</w:t>
      </w:r>
      <w:r>
        <w:rPr>
          <w:rFonts w:hint="eastAsia" w:ascii="仿宋_GB2312" w:hAnsi="微软雅黑" w:eastAsia="仿宋_GB2312" w:cs="仿宋_GB2312"/>
          <w:i w:val="0"/>
          <w:caps w:val="0"/>
          <w:color w:val="auto"/>
          <w:spacing w:val="0"/>
          <w:sz w:val="31"/>
          <w:szCs w:val="31"/>
          <w:highlight w:val="none"/>
          <w:shd w:val="clear" w:fill="FFFFFF"/>
        </w:rPr>
        <w:t>出台</w:t>
      </w:r>
      <w:r>
        <w:rPr>
          <w:rFonts w:hint="eastAsia" w:ascii="仿宋_GB2312" w:hAnsi="仿宋_GB2312" w:eastAsia="仿宋_GB2312" w:cs="仿宋_GB2312"/>
          <w:bCs/>
          <w:color w:val="auto"/>
          <w:kern w:val="0"/>
          <w:sz w:val="32"/>
          <w:szCs w:val="32"/>
          <w:highlight w:val="none"/>
          <w:lang w:val="zh-CN"/>
        </w:rPr>
        <w:t>。</w:t>
      </w:r>
    </w:p>
    <w:p>
      <w:pPr>
        <w:keepNext w:val="0"/>
        <w:keepLines w:val="0"/>
        <w:pageBreakBefore w:val="0"/>
        <w:kinsoku/>
        <w:wordWrap/>
        <w:overflowPunct/>
        <w:topLinePunct w:val="0"/>
        <w:autoSpaceDE/>
        <w:autoSpaceDN/>
        <w:bidi w:val="0"/>
        <w:spacing w:line="578" w:lineRule="exact"/>
        <w:ind w:firstLine="643" w:firstLineChars="200"/>
        <w:textAlignment w:val="auto"/>
        <w:rPr>
          <w:rFonts w:hint="eastAsia" w:ascii="仿宋_GB2312" w:hAnsi="仿宋" w:eastAsia="仿宋_GB2312"/>
          <w:color w:val="auto"/>
          <w:sz w:val="32"/>
          <w:szCs w:val="32"/>
          <w:highlight w:val="none"/>
          <w:lang w:eastAsia="zh-CN"/>
        </w:rPr>
      </w:pPr>
      <w:r>
        <w:rPr>
          <w:rFonts w:hint="eastAsia" w:ascii="楷体_GB2312" w:hAnsi="楷体_GB2312" w:eastAsia="楷体_GB2312" w:cs="楷体_GB2312"/>
          <w:b/>
          <w:bCs/>
          <w:i w:val="0"/>
          <w:caps w:val="0"/>
          <w:color w:val="auto"/>
          <w:spacing w:val="0"/>
          <w:kern w:val="0"/>
          <w:sz w:val="32"/>
          <w:szCs w:val="32"/>
          <w:highlight w:val="none"/>
          <w:shd w:val="clear" w:fill="FFFFFF"/>
          <w:lang w:val="en-US" w:eastAsia="zh-CN" w:bidi="ar"/>
        </w:rPr>
        <w:t>——商事制度改革稳步推进。</w:t>
      </w:r>
      <w:r>
        <w:rPr>
          <w:rFonts w:hint="eastAsia" w:ascii="仿宋_GB2312" w:hAnsi="黑体" w:eastAsia="仿宋_GB2312" w:cs="仿宋_GB2312"/>
          <w:bCs/>
          <w:color w:val="auto"/>
          <w:sz w:val="32"/>
          <w:szCs w:val="32"/>
          <w:highlight w:val="none"/>
        </w:rPr>
        <w:t>聚焦“证照分离”，</w:t>
      </w:r>
      <w:r>
        <w:rPr>
          <w:rFonts w:hint="eastAsia" w:ascii="仿宋_GB2312" w:hAnsi="黑体" w:eastAsia="仿宋_GB2312" w:cs="仿宋_GB2312"/>
          <w:bCs/>
          <w:color w:val="auto"/>
          <w:sz w:val="32"/>
          <w:szCs w:val="32"/>
          <w:highlight w:val="none"/>
          <w:lang w:eastAsia="zh-CN"/>
        </w:rPr>
        <w:t>落实权责清单，</w:t>
      </w:r>
      <w:r>
        <w:rPr>
          <w:rFonts w:hint="eastAsia" w:ascii="仿宋_GB2312" w:hAnsi="黑体" w:eastAsia="仿宋_GB2312" w:cs="仿宋_GB2312"/>
          <w:bCs/>
          <w:color w:val="auto"/>
          <w:sz w:val="32"/>
          <w:szCs w:val="32"/>
          <w:highlight w:val="none"/>
        </w:rPr>
        <w:t>实现清单之外无审批。</w:t>
      </w:r>
      <w:r>
        <w:rPr>
          <w:rFonts w:hint="eastAsia" w:ascii="仿宋_GB2312" w:hAnsi="黑体" w:eastAsia="仿宋_GB2312" w:cs="仿宋_GB2312"/>
          <w:color w:val="auto"/>
          <w:sz w:val="32"/>
          <w:szCs w:val="32"/>
          <w:highlight w:val="none"/>
        </w:rPr>
        <w:t>全</w:t>
      </w:r>
      <w:r>
        <w:rPr>
          <w:rFonts w:hint="eastAsia" w:ascii="仿宋_GB2312" w:eastAsia="仿宋_GB2312" w:cs="仿宋_GB2312"/>
          <w:color w:val="auto"/>
          <w:sz w:val="32"/>
          <w:szCs w:val="32"/>
          <w:highlight w:val="none"/>
        </w:rPr>
        <w:t>面推行“先照后证”，</w:t>
      </w:r>
      <w:r>
        <w:rPr>
          <w:rFonts w:hint="eastAsia" w:ascii="仿宋_GB2312" w:hAnsi="仿宋" w:eastAsia="仿宋_GB2312" w:cs="仿宋_GB2312"/>
          <w:color w:val="auto"/>
          <w:sz w:val="32"/>
          <w:szCs w:val="32"/>
          <w:highlight w:val="none"/>
        </w:rPr>
        <w:t>对“证照分离”、“多证合一”改革实行动态化管理</w:t>
      </w:r>
      <w:r>
        <w:rPr>
          <w:rFonts w:hint="eastAsia" w:ascii="仿宋_GB2312" w:hAnsi="仿宋" w:eastAsia="仿宋_GB2312" w:cs="仿宋_GB2312"/>
          <w:color w:val="auto"/>
          <w:sz w:val="32"/>
          <w:szCs w:val="32"/>
          <w:highlight w:val="none"/>
          <w:lang w:eastAsia="zh-CN"/>
        </w:rPr>
        <w:t>。</w:t>
      </w:r>
      <w:r>
        <w:rPr>
          <w:rFonts w:hint="eastAsia" w:ascii="仿宋_GB2312" w:hAnsi="黑体" w:eastAsia="仿宋_GB2312" w:cs="仿宋_GB2312"/>
          <w:bCs/>
          <w:color w:val="auto"/>
          <w:sz w:val="32"/>
          <w:szCs w:val="32"/>
          <w:highlight w:val="none"/>
        </w:rPr>
        <w:t>全省率先实现</w:t>
      </w:r>
      <w:r>
        <w:rPr>
          <w:rFonts w:hint="eastAsia" w:ascii="仿宋_GB2312" w:hAnsi="黑体" w:eastAsia="仿宋_GB2312" w:cs="仿宋_GB2312"/>
          <w:bCs/>
          <w:color w:val="auto"/>
          <w:sz w:val="32"/>
          <w:szCs w:val="32"/>
          <w:highlight w:val="none"/>
          <w:lang w:eastAsia="zh-CN"/>
        </w:rPr>
        <w:t>企业开办</w:t>
      </w:r>
      <w:r>
        <w:rPr>
          <w:rFonts w:hint="eastAsia" w:ascii="仿宋_GB2312" w:hAnsi="黑体" w:eastAsia="仿宋_GB2312" w:cs="仿宋_GB2312"/>
          <w:bCs/>
          <w:color w:val="auto"/>
          <w:sz w:val="32"/>
          <w:szCs w:val="32"/>
          <w:highlight w:val="none"/>
        </w:rPr>
        <w:t>一日办结</w:t>
      </w:r>
      <w:r>
        <w:rPr>
          <w:rFonts w:hint="eastAsia" w:ascii="仿宋_GB2312" w:hAnsi="黑体" w:eastAsia="仿宋_GB2312" w:cs="仿宋_GB2312"/>
          <w:bCs/>
          <w:color w:val="auto"/>
          <w:sz w:val="32"/>
          <w:szCs w:val="32"/>
          <w:highlight w:val="none"/>
          <w:lang w:eastAsia="zh-CN"/>
        </w:rPr>
        <w:t>，</w:t>
      </w:r>
      <w:r>
        <w:rPr>
          <w:rFonts w:hint="eastAsia" w:ascii="仿宋_GB2312" w:hAnsi="黑体" w:eastAsia="仿宋_GB2312" w:cs="仿宋_GB2312"/>
          <w:color w:val="auto"/>
          <w:sz w:val="32"/>
          <w:szCs w:val="32"/>
          <w:highlight w:val="none"/>
        </w:rPr>
        <w:t>企业注销实现“一网”服务。</w:t>
      </w:r>
      <w:r>
        <w:rPr>
          <w:rFonts w:hint="eastAsia" w:ascii="仿宋_GB2312" w:hAnsi="仿宋" w:eastAsia="仿宋_GB2312"/>
          <w:color w:val="auto"/>
          <w:sz w:val="32"/>
          <w:szCs w:val="32"/>
          <w:highlight w:val="none"/>
        </w:rPr>
        <w:t>“十</w:t>
      </w:r>
      <w:r>
        <w:rPr>
          <w:rFonts w:hint="eastAsia" w:ascii="仿宋_GB2312" w:hAnsi="仿宋" w:eastAsia="仿宋_GB2312"/>
          <w:color w:val="auto"/>
          <w:sz w:val="32"/>
          <w:szCs w:val="32"/>
          <w:highlight w:val="none"/>
          <w:lang w:eastAsia="zh-CN"/>
        </w:rPr>
        <w:t>三</w:t>
      </w:r>
      <w:r>
        <w:rPr>
          <w:rFonts w:hint="eastAsia" w:ascii="仿宋_GB2312" w:hAnsi="仿宋" w:eastAsia="仿宋_GB2312"/>
          <w:color w:val="auto"/>
          <w:sz w:val="32"/>
          <w:szCs w:val="32"/>
          <w:highlight w:val="none"/>
        </w:rPr>
        <w:t>五”末市场主体</w:t>
      </w:r>
      <w:r>
        <w:rPr>
          <w:rFonts w:hint="eastAsia" w:ascii="仿宋_GB2312" w:hAnsi="仿宋" w:eastAsia="仿宋_GB2312"/>
          <w:color w:val="auto"/>
          <w:sz w:val="32"/>
          <w:szCs w:val="32"/>
          <w:highlight w:val="none"/>
          <w:lang w:eastAsia="zh-CN"/>
        </w:rPr>
        <w:t>总量</w:t>
      </w:r>
      <w:r>
        <w:rPr>
          <w:rFonts w:hint="eastAsia" w:ascii="仿宋_GB2312" w:hAnsi="仿宋" w:eastAsia="仿宋_GB2312"/>
          <w:color w:val="auto"/>
          <w:sz w:val="32"/>
          <w:szCs w:val="32"/>
          <w:highlight w:val="none"/>
        </w:rPr>
        <w:t>达到</w:t>
      </w:r>
      <w:r>
        <w:rPr>
          <w:rFonts w:hint="eastAsia" w:ascii="仿宋_GB2312" w:hAnsi="仿宋" w:eastAsia="仿宋_GB2312"/>
          <w:color w:val="auto"/>
          <w:sz w:val="32"/>
          <w:szCs w:val="32"/>
          <w:highlight w:val="none"/>
          <w:lang w:val="en-US" w:eastAsia="zh-CN"/>
        </w:rPr>
        <w:t>17.6万</w:t>
      </w:r>
      <w:r>
        <w:rPr>
          <w:rFonts w:hint="eastAsia" w:ascii="仿宋_GB2312" w:hAnsi="仿宋" w:eastAsia="仿宋_GB2312"/>
          <w:color w:val="auto"/>
          <w:sz w:val="32"/>
          <w:szCs w:val="32"/>
          <w:highlight w:val="none"/>
        </w:rPr>
        <w:t>户，比“十二五”末</w:t>
      </w:r>
      <w:r>
        <w:rPr>
          <w:rFonts w:hint="eastAsia" w:ascii="仿宋_GB2312" w:hAnsi="仿宋" w:eastAsia="仿宋_GB2312"/>
          <w:color w:val="auto"/>
          <w:sz w:val="32"/>
          <w:szCs w:val="32"/>
          <w:highlight w:val="none"/>
          <w:lang w:val="en-US" w:eastAsia="zh-CN"/>
        </w:rPr>
        <w:t>7.1万</w:t>
      </w:r>
      <w:r>
        <w:rPr>
          <w:rFonts w:hint="eastAsia" w:ascii="仿宋_GB2312" w:hAnsi="仿宋" w:eastAsia="仿宋_GB2312"/>
          <w:color w:val="auto"/>
          <w:sz w:val="32"/>
          <w:szCs w:val="32"/>
          <w:highlight w:val="none"/>
        </w:rPr>
        <w:t>户增长了</w:t>
      </w:r>
      <w:r>
        <w:rPr>
          <w:rFonts w:hint="eastAsia" w:ascii="仿宋_GB2312" w:hAnsi="仿宋" w:eastAsia="仿宋_GB2312"/>
          <w:color w:val="auto"/>
          <w:sz w:val="32"/>
          <w:szCs w:val="32"/>
          <w:highlight w:val="none"/>
          <w:lang w:val="en-US" w:eastAsia="zh-CN"/>
        </w:rPr>
        <w:t>147.89</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78"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i w:val="0"/>
          <w:caps w:val="0"/>
          <w:color w:val="auto"/>
          <w:spacing w:val="0"/>
          <w:kern w:val="0"/>
          <w:sz w:val="32"/>
          <w:szCs w:val="32"/>
          <w:highlight w:val="none"/>
          <w:shd w:val="clear" w:fill="FFFFFF"/>
          <w:lang w:val="en-US" w:eastAsia="zh-CN" w:bidi="ar"/>
        </w:rPr>
        <w:t>——安全领域监管不断强化。</w:t>
      </w:r>
      <w:r>
        <w:rPr>
          <w:rFonts w:hint="eastAsia" w:ascii="仿宋_GB2312" w:hAnsi="仿宋_GB2312" w:eastAsia="仿宋_GB2312" w:cs="仿宋_GB2312"/>
          <w:color w:val="auto"/>
          <w:sz w:val="32"/>
          <w:szCs w:val="32"/>
          <w:highlight w:val="none"/>
        </w:rPr>
        <w:t>全面加强食品、药品、特种设备、工业产品质量安全监管，未发生区域性、系统性重大安全事故。2018年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我市成功创建安徽省食品安全城市，并</w:t>
      </w:r>
      <w:r>
        <w:rPr>
          <w:rFonts w:hint="eastAsia" w:ascii="仿宋_GB2312" w:eastAsia="仿宋_GB2312"/>
          <w:color w:val="auto"/>
          <w:sz w:val="32"/>
          <w:szCs w:val="32"/>
          <w:highlight w:val="none"/>
        </w:rPr>
        <w:t>荣获食品安全工作综合评价全省第四名</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出台淮北市首部地方性特种设备法规《淮北市电梯安全管理条例》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工业产品质量监督抽查合格率达9</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%以上。</w:t>
      </w:r>
    </w:p>
    <w:p>
      <w:pPr>
        <w:keepNext w:val="0"/>
        <w:keepLines w:val="0"/>
        <w:pageBreakBefore w:val="0"/>
        <w:kinsoku/>
        <w:wordWrap/>
        <w:overflowPunct/>
        <w:topLinePunct w:val="0"/>
        <w:autoSpaceDE/>
        <w:autoSpaceDN/>
        <w:bidi w:val="0"/>
        <w:spacing w:line="578"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i w:val="0"/>
          <w:caps w:val="0"/>
          <w:color w:val="auto"/>
          <w:spacing w:val="0"/>
          <w:kern w:val="0"/>
          <w:sz w:val="32"/>
          <w:szCs w:val="32"/>
          <w:highlight w:val="none"/>
          <w:shd w:val="clear" w:fill="FFFFFF"/>
          <w:lang w:val="en-US" w:eastAsia="zh-CN" w:bidi="ar"/>
        </w:rPr>
        <w:t>——质量强市建设有力推进。</w:t>
      </w:r>
      <w:r>
        <w:rPr>
          <w:rFonts w:hint="eastAsia" w:ascii="仿宋_GB2312" w:hAnsi="楷体_GB2312" w:eastAsia="仿宋_GB2312" w:cs="楷体_GB2312"/>
          <w:bCs/>
          <w:color w:val="auto"/>
          <w:sz w:val="32"/>
          <w:szCs w:val="32"/>
          <w:highlight w:val="none"/>
        </w:rPr>
        <w:t>实施淮北市质量品牌升级工程，开展质量提升行动</w:t>
      </w:r>
      <w:r>
        <w:rPr>
          <w:rFonts w:hint="eastAsia" w:ascii="仿宋_GB2312" w:hAnsi="楷体_GB2312" w:eastAsia="仿宋_GB2312" w:cs="楷体_GB2312"/>
          <w:bCs/>
          <w:color w:val="auto"/>
          <w:sz w:val="32"/>
          <w:szCs w:val="32"/>
          <w:highlight w:val="none"/>
          <w:lang w:eastAsia="zh-CN"/>
        </w:rPr>
        <w:t>，</w:t>
      </w:r>
      <w:r>
        <w:rPr>
          <w:rFonts w:hint="eastAsia" w:ascii="仿宋_GB2312" w:hAnsi="楷体_GB2312" w:eastAsia="仿宋_GB2312" w:cs="楷体_GB2312"/>
          <w:bCs/>
          <w:color w:val="auto"/>
          <w:sz w:val="32"/>
          <w:szCs w:val="32"/>
          <w:highlight w:val="none"/>
        </w:rPr>
        <w:t>获得安徽省政府质量奖提名</w:t>
      </w:r>
      <w:r>
        <w:rPr>
          <w:rFonts w:hint="eastAsia" w:ascii="仿宋_GB2312" w:hAnsi="楷体_GB2312" w:eastAsia="仿宋_GB2312" w:cs="楷体_GB2312"/>
          <w:bCs/>
          <w:color w:val="auto"/>
          <w:sz w:val="32"/>
          <w:szCs w:val="32"/>
          <w:highlight w:val="none"/>
          <w:lang w:eastAsia="zh-CN"/>
        </w:rPr>
        <w:t>奖</w:t>
      </w:r>
      <w:r>
        <w:rPr>
          <w:rFonts w:hint="eastAsia" w:ascii="仿宋_GB2312" w:hAnsi="楷体_GB2312" w:eastAsia="仿宋_GB2312" w:cs="楷体_GB2312"/>
          <w:bCs/>
          <w:color w:val="auto"/>
          <w:sz w:val="32"/>
          <w:szCs w:val="32"/>
          <w:highlight w:val="none"/>
          <w:lang w:val="en-US" w:eastAsia="zh-CN"/>
        </w:rPr>
        <w:t>1个</w:t>
      </w:r>
      <w:r>
        <w:rPr>
          <w:rFonts w:hint="eastAsia" w:ascii="仿宋_GB2312" w:hAnsi="楷体_GB2312" w:eastAsia="仿宋_GB2312" w:cs="楷体_GB2312"/>
          <w:bCs/>
          <w:color w:val="auto"/>
          <w:sz w:val="32"/>
          <w:szCs w:val="32"/>
          <w:highlight w:val="none"/>
        </w:rPr>
        <w:t>；取得</w:t>
      </w:r>
      <w:r>
        <w:rPr>
          <w:rFonts w:hint="eastAsia" w:ascii="仿宋_GB2312" w:hAnsi="楷体_GB2312" w:eastAsia="仿宋_GB2312" w:cs="楷体_GB2312"/>
          <w:bCs/>
          <w:color w:val="auto"/>
          <w:sz w:val="32"/>
          <w:szCs w:val="32"/>
          <w:highlight w:val="none"/>
          <w:lang w:eastAsia="zh-CN"/>
        </w:rPr>
        <w:t>企业</w:t>
      </w:r>
      <w:r>
        <w:rPr>
          <w:rFonts w:hint="eastAsia" w:ascii="仿宋_GB2312" w:hAnsi="楷体_GB2312" w:eastAsia="仿宋_GB2312" w:cs="楷体_GB2312"/>
          <w:bCs/>
          <w:color w:val="auto"/>
          <w:sz w:val="32"/>
          <w:szCs w:val="32"/>
          <w:highlight w:val="none"/>
        </w:rPr>
        <w:t>首席质量官证书800余</w:t>
      </w:r>
      <w:r>
        <w:rPr>
          <w:rFonts w:hint="eastAsia" w:ascii="仿宋_GB2312" w:hAnsi="楷体_GB2312" w:eastAsia="仿宋_GB2312" w:cs="楷体_GB2312"/>
          <w:bCs/>
          <w:color w:val="auto"/>
          <w:sz w:val="32"/>
          <w:szCs w:val="32"/>
          <w:highlight w:val="none"/>
          <w:lang w:eastAsia="zh-CN"/>
        </w:rPr>
        <w:t>人</w:t>
      </w:r>
      <w:r>
        <w:rPr>
          <w:rFonts w:hint="eastAsia" w:ascii="仿宋_GB2312" w:hAnsi="楷体_GB2312" w:eastAsia="仿宋_GB2312" w:cs="楷体_GB2312"/>
          <w:bCs/>
          <w:color w:val="auto"/>
          <w:sz w:val="32"/>
          <w:szCs w:val="32"/>
          <w:highlight w:val="none"/>
        </w:rPr>
        <w:t>；获得安徽省名牌产品称号28个</w:t>
      </w:r>
      <w:r>
        <w:rPr>
          <w:rFonts w:hint="eastAsia" w:ascii="仿宋_GB2312" w:hAnsi="楷体_GB2312" w:eastAsia="仿宋_GB2312" w:cs="楷体_GB2312"/>
          <w:bCs/>
          <w:color w:val="auto"/>
          <w:sz w:val="32"/>
          <w:szCs w:val="32"/>
          <w:highlight w:val="none"/>
          <w:lang w:eastAsia="zh-CN"/>
        </w:rPr>
        <w:t>；</w:t>
      </w:r>
      <w:r>
        <w:rPr>
          <w:rFonts w:hint="eastAsia" w:ascii="仿宋_GB2312" w:hAnsi="仿宋_GB2312" w:eastAsia="仿宋_GB2312" w:cs="仿宋_GB2312"/>
          <w:color w:val="auto"/>
          <w:sz w:val="32"/>
          <w:szCs w:val="32"/>
          <w:highlight w:val="none"/>
        </w:rPr>
        <w:t>制定发布</w:t>
      </w:r>
      <w:r>
        <w:rPr>
          <w:rFonts w:hint="eastAsia" w:ascii="仿宋_GB2312" w:hAnsi="仿宋_GB2312" w:eastAsia="仿宋_GB2312" w:cs="仿宋_GB2312"/>
          <w:color w:val="auto"/>
          <w:sz w:val="32"/>
          <w:szCs w:val="32"/>
          <w:highlight w:val="none"/>
          <w:lang w:eastAsia="zh-CN"/>
        </w:rPr>
        <w:t>国际标准</w:t>
      </w:r>
      <w:r>
        <w:rPr>
          <w:rFonts w:hint="eastAsia" w:ascii="仿宋_GB2312" w:hAnsi="仿宋_GB2312" w:eastAsia="仿宋_GB2312" w:cs="仿宋_GB2312"/>
          <w:color w:val="auto"/>
          <w:sz w:val="32"/>
          <w:szCs w:val="32"/>
          <w:highlight w:val="none"/>
          <w:lang w:val="en-US" w:eastAsia="zh-CN"/>
        </w:rPr>
        <w:t>2项、</w:t>
      </w:r>
      <w:r>
        <w:rPr>
          <w:rFonts w:hint="eastAsia" w:ascii="仿宋_GB2312" w:hAnsi="仿宋_GB2312" w:eastAsia="仿宋_GB2312" w:cs="仿宋_GB2312"/>
          <w:color w:val="auto"/>
          <w:sz w:val="32"/>
          <w:szCs w:val="32"/>
          <w:highlight w:val="none"/>
        </w:rPr>
        <w:t>国家标准31项、行业标准36项、地方标准</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color w:val="auto"/>
          <w:sz w:val="32"/>
          <w:szCs w:val="32"/>
          <w:highlight w:val="none"/>
        </w:rPr>
        <w:t>项。</w:t>
      </w:r>
    </w:p>
    <w:p>
      <w:pPr>
        <w:keepNext w:val="0"/>
        <w:keepLines w:val="0"/>
        <w:pageBreakBefore w:val="0"/>
        <w:kinsoku/>
        <w:wordWrap/>
        <w:overflowPunct/>
        <w:topLinePunct w:val="0"/>
        <w:autoSpaceDE/>
        <w:autoSpaceDN/>
        <w:bidi w:val="0"/>
        <w:spacing w:line="578" w:lineRule="exact"/>
        <w:ind w:firstLine="643" w:firstLineChars="200"/>
        <w:textAlignment w:val="auto"/>
        <w:rPr>
          <w:rFonts w:hint="eastAsia" w:ascii="仿宋_GB2312" w:hAnsi="仿宋" w:eastAsia="仿宋_GB2312"/>
          <w:color w:val="auto"/>
          <w:sz w:val="32"/>
          <w:szCs w:val="32"/>
          <w:highlight w:val="none"/>
          <w:lang w:eastAsia="zh-CN"/>
        </w:rPr>
      </w:pPr>
      <w:r>
        <w:rPr>
          <w:rFonts w:hint="eastAsia" w:ascii="楷体_GB2312" w:hAnsi="楷体_GB2312" w:eastAsia="楷体_GB2312" w:cs="楷体_GB2312"/>
          <w:b/>
          <w:bCs/>
          <w:i w:val="0"/>
          <w:caps w:val="0"/>
          <w:color w:val="auto"/>
          <w:spacing w:val="0"/>
          <w:kern w:val="0"/>
          <w:sz w:val="32"/>
          <w:szCs w:val="32"/>
          <w:highlight w:val="none"/>
          <w:shd w:val="clear" w:fill="FFFFFF"/>
          <w:lang w:val="en-US" w:eastAsia="zh-CN" w:bidi="ar"/>
        </w:rPr>
        <w:t>——知识产权工作持续提升。</w:t>
      </w:r>
      <w:r>
        <w:rPr>
          <w:rFonts w:hint="eastAsia" w:ascii="仿宋_GB2312" w:hAnsi="仿宋" w:eastAsia="仿宋_GB2312"/>
          <w:color w:val="auto"/>
          <w:sz w:val="32"/>
          <w:szCs w:val="32"/>
          <w:highlight w:val="none"/>
        </w:rPr>
        <w:t>每万人口发明专利拥有量</w:t>
      </w:r>
      <w:r>
        <w:rPr>
          <w:rFonts w:hint="eastAsia" w:ascii="仿宋_GB2312" w:hAnsi="仿宋" w:eastAsia="仿宋_GB2312"/>
          <w:color w:val="auto"/>
          <w:sz w:val="32"/>
          <w:szCs w:val="32"/>
          <w:highlight w:val="none"/>
          <w:lang w:eastAsia="zh-CN"/>
        </w:rPr>
        <w:t>和每万户市场主体注册商标拥有量分别</w:t>
      </w:r>
      <w:r>
        <w:rPr>
          <w:rFonts w:hint="eastAsia" w:ascii="仿宋_GB2312" w:hAnsi="仿宋" w:eastAsia="仿宋_GB2312"/>
          <w:color w:val="auto"/>
          <w:sz w:val="32"/>
          <w:szCs w:val="32"/>
          <w:highlight w:val="none"/>
        </w:rPr>
        <w:t>达</w:t>
      </w:r>
      <w:r>
        <w:rPr>
          <w:rFonts w:hint="eastAsia" w:ascii="仿宋_GB2312" w:hAnsi="仿宋" w:eastAsia="仿宋_GB2312"/>
          <w:color w:val="auto"/>
          <w:sz w:val="32"/>
          <w:szCs w:val="32"/>
          <w:highlight w:val="none"/>
          <w:lang w:val="en-US" w:eastAsia="zh-CN"/>
        </w:rPr>
        <w:t>5.5</w:t>
      </w:r>
      <w:r>
        <w:rPr>
          <w:rFonts w:hint="eastAsia" w:ascii="仿宋_GB2312" w:hAnsi="仿宋" w:eastAsia="仿宋_GB2312"/>
          <w:color w:val="auto"/>
          <w:sz w:val="32"/>
          <w:szCs w:val="32"/>
          <w:highlight w:val="none"/>
        </w:rPr>
        <w:t>件</w:t>
      </w:r>
      <w:r>
        <w:rPr>
          <w:rFonts w:hint="eastAsia" w:ascii="仿宋_GB2312" w:hAnsi="仿宋" w:eastAsia="仿宋_GB2312"/>
          <w:color w:val="auto"/>
          <w:sz w:val="32"/>
          <w:szCs w:val="32"/>
          <w:highlight w:val="none"/>
          <w:lang w:eastAsia="zh-CN"/>
        </w:rPr>
        <w:t>和</w:t>
      </w:r>
      <w:r>
        <w:rPr>
          <w:rFonts w:hint="eastAsia" w:ascii="仿宋_GB2312" w:hAnsi="仿宋" w:eastAsia="仿宋_GB2312"/>
          <w:color w:val="auto"/>
          <w:sz w:val="32"/>
          <w:szCs w:val="32"/>
          <w:highlight w:val="none"/>
          <w:lang w:val="en-US" w:eastAsia="zh-CN"/>
        </w:rPr>
        <w:t>665件</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比</w:t>
      </w:r>
      <w:r>
        <w:rPr>
          <w:rFonts w:hint="eastAsia" w:ascii="仿宋_GB2312" w:hAnsi="仿宋" w:eastAsia="仿宋_GB2312"/>
          <w:color w:val="auto"/>
          <w:sz w:val="32"/>
          <w:szCs w:val="32"/>
          <w:highlight w:val="none"/>
        </w:rPr>
        <w:t>“十二五”末增长</w:t>
      </w:r>
      <w:r>
        <w:rPr>
          <w:rFonts w:hint="eastAsia" w:ascii="仿宋_GB2312" w:hAnsi="仿宋" w:eastAsia="仿宋_GB2312"/>
          <w:color w:val="auto"/>
          <w:sz w:val="32"/>
          <w:szCs w:val="32"/>
          <w:highlight w:val="none"/>
          <w:lang w:val="en-US" w:eastAsia="zh-CN"/>
        </w:rPr>
        <w:t>189.47%和96.75%</w:t>
      </w:r>
      <w:r>
        <w:rPr>
          <w:rFonts w:hint="eastAsia" w:ascii="仿宋_GB2312" w:hAnsi="仿宋" w:eastAsia="仿宋_GB2312"/>
          <w:color w:val="auto"/>
          <w:sz w:val="32"/>
          <w:szCs w:val="32"/>
          <w:highlight w:val="none"/>
        </w:rPr>
        <w:t>。</w:t>
      </w:r>
      <w:r>
        <w:rPr>
          <w:rFonts w:hint="eastAsia" w:ascii="仿宋_GB2312" w:eastAsia="仿宋_GB2312"/>
          <w:color w:val="auto"/>
          <w:sz w:val="32"/>
          <w:szCs w:val="32"/>
          <w:highlight w:val="none"/>
        </w:rPr>
        <w:t>拥有11件驰名商标，</w:t>
      </w:r>
      <w:r>
        <w:rPr>
          <w:rFonts w:hint="eastAsia" w:ascii="仿宋_GB2312" w:eastAsia="仿宋_GB2312"/>
          <w:color w:val="auto"/>
          <w:sz w:val="32"/>
          <w:szCs w:val="32"/>
          <w:highlight w:val="none"/>
          <w:lang w:eastAsia="zh-CN"/>
        </w:rPr>
        <w:t>知识产权</w:t>
      </w:r>
      <w:r>
        <w:rPr>
          <w:rFonts w:hint="eastAsia" w:ascii="仿宋_GB2312" w:eastAsia="仿宋_GB2312"/>
          <w:color w:val="auto"/>
          <w:sz w:val="32"/>
          <w:szCs w:val="32"/>
          <w:highlight w:val="none"/>
        </w:rPr>
        <w:t>融资金额达</w:t>
      </w:r>
      <w:r>
        <w:rPr>
          <w:rFonts w:hint="eastAsia" w:ascii="仿宋_GB2312" w:eastAsia="仿宋_GB2312"/>
          <w:color w:val="auto"/>
          <w:sz w:val="32"/>
          <w:szCs w:val="32"/>
          <w:highlight w:val="none"/>
          <w:lang w:val="en-US" w:eastAsia="zh-CN"/>
        </w:rPr>
        <w:t>6亿</w:t>
      </w:r>
      <w:r>
        <w:rPr>
          <w:rFonts w:hint="eastAsia" w:ascii="仿宋_GB2312" w:eastAsia="仿宋_GB2312"/>
          <w:color w:val="auto"/>
          <w:sz w:val="32"/>
          <w:szCs w:val="32"/>
          <w:highlight w:val="none"/>
        </w:rPr>
        <w:t>元。商标拥有量从2400件，增加到</w:t>
      </w:r>
      <w:r>
        <w:rPr>
          <w:rFonts w:hint="eastAsia" w:ascii="仿宋_GB2312" w:eastAsia="仿宋_GB2312"/>
          <w:color w:val="auto"/>
          <w:sz w:val="32"/>
          <w:szCs w:val="32"/>
          <w:highlight w:val="none"/>
          <w:lang w:val="en-US" w:eastAsia="zh-CN"/>
        </w:rPr>
        <w:t>11707</w:t>
      </w:r>
      <w:r>
        <w:rPr>
          <w:rFonts w:hint="eastAsia" w:ascii="仿宋_GB2312" w:eastAsia="仿宋_GB2312"/>
          <w:color w:val="auto"/>
          <w:sz w:val="32"/>
          <w:szCs w:val="32"/>
          <w:highlight w:val="none"/>
        </w:rPr>
        <w:t>件</w:t>
      </w:r>
      <w:r>
        <w:rPr>
          <w:rFonts w:hint="eastAsia" w:ascii="仿宋_GB2312" w:eastAsia="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578" w:lineRule="exact"/>
        <w:ind w:firstLine="643" w:firstLineChars="200"/>
        <w:textAlignment w:val="auto"/>
        <w:rPr>
          <w:rFonts w:hint="eastAsia" w:ascii="仿宋_GB2312" w:hAnsi="黑体" w:eastAsia="仿宋_GB2312" w:cs="仿宋_GB2312"/>
          <w:color w:val="auto"/>
          <w:sz w:val="32"/>
          <w:szCs w:val="32"/>
          <w:highlight w:val="none"/>
        </w:rPr>
      </w:pPr>
      <w:r>
        <w:rPr>
          <w:rFonts w:hint="eastAsia" w:ascii="楷体_GB2312" w:hAnsi="楷体_GB2312" w:eastAsia="楷体_GB2312" w:cs="楷体_GB2312"/>
          <w:b/>
          <w:bCs/>
          <w:i w:val="0"/>
          <w:caps w:val="0"/>
          <w:color w:val="auto"/>
          <w:spacing w:val="0"/>
          <w:kern w:val="0"/>
          <w:sz w:val="32"/>
          <w:szCs w:val="32"/>
          <w:highlight w:val="none"/>
          <w:shd w:val="clear" w:fill="FFFFFF"/>
          <w:lang w:val="en-US" w:eastAsia="zh-CN" w:bidi="ar"/>
        </w:rPr>
        <w:t>——市场监管执法更加公平。</w:t>
      </w:r>
      <w:r>
        <w:rPr>
          <w:rFonts w:hint="eastAsia" w:ascii="仿宋_GB2312" w:hAnsi="黑体" w:eastAsia="仿宋_GB2312" w:cs="仿宋_GB2312"/>
          <w:color w:val="auto"/>
          <w:sz w:val="32"/>
          <w:szCs w:val="32"/>
          <w:highlight w:val="none"/>
        </w:rPr>
        <w:t>建立“全域覆盖、分层推进、定向抽查、一抽多检、联合惩戒”“五位一体”的淮北双随机监管模式。公平竞争审查机制不断完善</w:t>
      </w:r>
      <w:r>
        <w:rPr>
          <w:rFonts w:hint="eastAsia" w:ascii="仿宋_GB2312" w:hAnsi="黑体" w:eastAsia="仿宋_GB2312" w:cs="仿宋_GB2312"/>
          <w:color w:val="auto"/>
          <w:sz w:val="32"/>
          <w:szCs w:val="32"/>
          <w:highlight w:val="none"/>
          <w:lang w:eastAsia="zh-CN"/>
        </w:rPr>
        <w:t>，知识产权、价格、广告、网络交易等重点领域监管深入推进，</w:t>
      </w:r>
      <w:r>
        <w:rPr>
          <w:rFonts w:hint="eastAsia" w:ascii="仿宋_GB2312" w:hAnsi="黑体" w:eastAsia="仿宋_GB2312" w:cs="仿宋_GB2312"/>
          <w:color w:val="auto"/>
          <w:sz w:val="32"/>
          <w:szCs w:val="32"/>
          <w:highlight w:val="none"/>
        </w:rPr>
        <w:t>全市共查处各类违法案件</w:t>
      </w:r>
      <w:r>
        <w:rPr>
          <w:rFonts w:hint="eastAsia" w:ascii="仿宋_GB2312" w:hAnsi="黑体" w:eastAsia="仿宋_GB2312" w:cs="仿宋_GB2312"/>
          <w:color w:val="auto"/>
          <w:sz w:val="32"/>
          <w:szCs w:val="32"/>
          <w:highlight w:val="none"/>
          <w:lang w:val="en-US" w:eastAsia="zh-CN"/>
        </w:rPr>
        <w:t>5</w:t>
      </w:r>
      <w:r>
        <w:rPr>
          <w:rFonts w:hint="eastAsia" w:ascii="仿宋_GB2312" w:hAnsi="黑体" w:eastAsia="仿宋_GB2312" w:cs="仿宋_GB2312"/>
          <w:color w:val="auto"/>
          <w:sz w:val="32"/>
          <w:szCs w:val="32"/>
          <w:highlight w:val="none"/>
        </w:rPr>
        <w:t>000余件，移送司法机关</w:t>
      </w:r>
      <w:r>
        <w:rPr>
          <w:rFonts w:hint="eastAsia" w:ascii="仿宋_GB2312" w:hAnsi="黑体" w:eastAsia="仿宋_GB2312" w:cs="仿宋_GB2312"/>
          <w:color w:val="auto"/>
          <w:sz w:val="32"/>
          <w:szCs w:val="32"/>
          <w:highlight w:val="none"/>
          <w:lang w:val="en-US" w:eastAsia="zh-CN"/>
        </w:rPr>
        <w:t>100</w:t>
      </w:r>
      <w:r>
        <w:rPr>
          <w:rFonts w:hint="eastAsia" w:ascii="仿宋_GB2312" w:hAnsi="黑体" w:eastAsia="仿宋_GB2312" w:cs="仿宋_GB2312"/>
          <w:color w:val="auto"/>
          <w:sz w:val="32"/>
          <w:szCs w:val="32"/>
          <w:highlight w:val="none"/>
        </w:rPr>
        <w:t>余件。</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市场监管</w:t>
      </w:r>
      <w:r>
        <w:rPr>
          <w:rFonts w:hint="eastAsia" w:ascii="黑体" w:hAnsi="黑体" w:eastAsia="黑体" w:cs="黑体"/>
          <w:color w:val="auto"/>
          <w:sz w:val="32"/>
          <w:szCs w:val="32"/>
          <w:highlight w:val="none"/>
          <w:lang w:eastAsia="zh-CN"/>
        </w:rPr>
        <w:t>面临</w:t>
      </w:r>
      <w:r>
        <w:rPr>
          <w:rFonts w:hint="eastAsia" w:ascii="黑体" w:hAnsi="黑体" w:eastAsia="黑体" w:cs="黑体"/>
          <w:color w:val="auto"/>
          <w:sz w:val="32"/>
          <w:szCs w:val="32"/>
          <w:highlight w:val="none"/>
        </w:rPr>
        <w:t>的形势与任务</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“十四五”时期，我国已转向高质量发展阶段，对市场监管工作带来了三个前所未有的挑战。</w:t>
      </w:r>
    </w:p>
    <w:p>
      <w:pPr>
        <w:keepNext w:val="0"/>
        <w:keepLines w:val="0"/>
        <w:pageBreakBefore w:val="0"/>
        <w:kinsoku/>
        <w:wordWrap/>
        <w:overflowPunct/>
        <w:topLinePunct w:val="0"/>
        <w:autoSpaceDE/>
        <w:autoSpaceDN/>
        <w:bidi w:val="0"/>
        <w:spacing w:line="578" w:lineRule="exact"/>
        <w:ind w:firstLine="643"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b/>
          <w:bCs/>
          <w:color w:val="auto"/>
          <w:sz w:val="32"/>
          <w:szCs w:val="32"/>
          <w:highlight w:val="none"/>
          <w:lang w:val="en-US" w:eastAsia="zh-CN"/>
        </w:rPr>
        <w:t>一是标准要求之高前所未有。</w:t>
      </w:r>
      <w:r>
        <w:rPr>
          <w:rFonts w:hint="eastAsia" w:ascii="仿宋_GB2312" w:hAnsi="仿宋" w:eastAsia="仿宋_GB2312"/>
          <w:color w:val="auto"/>
          <w:sz w:val="32"/>
          <w:szCs w:val="32"/>
          <w:highlight w:val="none"/>
          <w:lang w:val="en-US" w:eastAsia="zh-CN"/>
        </w:rPr>
        <w:t>以习近平同志为核心的党中央高度重视市场监管工作，习近平总书记对市场监管工作的一系列重要指示批示，为市场监管事业改革发展指明了方向、提供了根本遵循。“营造稳定公平透明的营商环境”、落实“四个最严”要求保障食品安全、全面加强知识产权保护工作、强化反垄断和反不正当竞争等，需要我们站在讲政治的高度来学习领会、贯彻落实。李克强总理多次到国家市场监管总局调研，对市场监管工作寄予厚望。</w:t>
      </w:r>
    </w:p>
    <w:p>
      <w:pPr>
        <w:keepNext w:val="0"/>
        <w:keepLines w:val="0"/>
        <w:pageBreakBefore w:val="0"/>
        <w:kinsoku/>
        <w:wordWrap/>
        <w:overflowPunct/>
        <w:topLinePunct w:val="0"/>
        <w:autoSpaceDE/>
        <w:autoSpaceDN/>
        <w:bidi w:val="0"/>
        <w:spacing w:line="578" w:lineRule="exact"/>
        <w:ind w:firstLine="643"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b/>
          <w:bCs/>
          <w:color w:val="auto"/>
          <w:sz w:val="32"/>
          <w:szCs w:val="32"/>
          <w:highlight w:val="none"/>
          <w:lang w:val="en-US" w:eastAsia="zh-CN"/>
        </w:rPr>
        <w:t>二是监管责任之重前所未有。</w:t>
      </w:r>
      <w:r>
        <w:rPr>
          <w:rFonts w:hint="eastAsia" w:ascii="仿宋_GB2312" w:hAnsi="仿宋" w:eastAsia="仿宋_GB2312"/>
          <w:color w:val="auto"/>
          <w:sz w:val="32"/>
          <w:szCs w:val="32"/>
          <w:highlight w:val="none"/>
          <w:lang w:val="en-US" w:eastAsia="zh-CN"/>
        </w:rPr>
        <w:t>市场监管涵盖工商、质监、食药监、价格监管、知识产权以及盐业执法等职能，范围广、责任重。食品安全、药品安全、特种设备和工业产品质量安全，更是直接关系人民群众的身体健康和生命财产安全。知识产权保护、质量发展、反不正当竞争和反垄断等关系一个地方经济社会的基础支撑和长远发展。市委市政府加快发展“五群十链”、乡村振兴等重大决策部署，对市场监管工作提出了新要求，市场监管部门肩上的担子更重、责任更大。</w:t>
      </w:r>
    </w:p>
    <w:p>
      <w:pPr>
        <w:keepNext w:val="0"/>
        <w:keepLines w:val="0"/>
        <w:pageBreakBefore w:val="0"/>
        <w:kinsoku/>
        <w:wordWrap/>
        <w:overflowPunct/>
        <w:topLinePunct w:val="0"/>
        <w:autoSpaceDE/>
        <w:autoSpaceDN/>
        <w:bidi w:val="0"/>
        <w:spacing w:line="578" w:lineRule="exact"/>
        <w:ind w:firstLine="643"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b/>
          <w:bCs/>
          <w:color w:val="auto"/>
          <w:sz w:val="32"/>
          <w:szCs w:val="32"/>
          <w:highlight w:val="none"/>
          <w:lang w:val="en-US" w:eastAsia="zh-CN"/>
        </w:rPr>
        <w:t>三是工作难度之大前所未有。</w:t>
      </w:r>
      <w:r>
        <w:rPr>
          <w:rFonts w:hint="eastAsia" w:ascii="仿宋_GB2312" w:hAnsi="仿宋" w:eastAsia="仿宋_GB2312"/>
          <w:color w:val="auto"/>
          <w:sz w:val="32"/>
          <w:szCs w:val="32"/>
          <w:highlight w:val="none"/>
          <w:lang w:val="en-US" w:eastAsia="zh-CN"/>
        </w:rPr>
        <w:t>市场主体不断增多，特种设备、计量器具不断增加，市场监管执法人员相对较少，给市场监管工作带来新的压力、新的风险。市场监管领域突发事件极易发生，并且容易引发社会关注，形成网络舆情事件。新型市场主体、新型经营业态、新型经营方式不断出现，基层监管执法人员的业务能力不足，市场监管能力跟不上。</w:t>
      </w:r>
    </w:p>
    <w:p>
      <w:pPr>
        <w:keepNext w:val="0"/>
        <w:keepLines w:val="0"/>
        <w:pageBreakBefore w:val="0"/>
        <w:widowControl/>
        <w:kinsoku/>
        <w:wordWrap/>
        <w:overflowPunct/>
        <w:topLinePunct w:val="0"/>
        <w:autoSpaceDE/>
        <w:autoSpaceDN/>
        <w:bidi w:val="0"/>
        <w:adjustRightInd w:val="0"/>
        <w:snapToGrid w:val="0"/>
        <w:spacing w:line="578" w:lineRule="exact"/>
        <w:jc w:val="center"/>
        <w:textAlignment w:val="auto"/>
        <w:outlineLvl w:val="0"/>
        <w:rPr>
          <w:rFonts w:hint="eastAsia" w:ascii="方正小标宋_GBK" w:hAnsi="Times New Roman" w:eastAsia="方正小标宋_GBK" w:cs="Times New Roman"/>
          <w:bCs/>
          <w:color w:val="auto"/>
          <w:kern w:val="36"/>
          <w:sz w:val="36"/>
          <w:szCs w:val="36"/>
          <w:highlight w:val="none"/>
        </w:rPr>
      </w:pPr>
      <w:bookmarkStart w:id="0" w:name="_Toc82852654"/>
    </w:p>
    <w:p>
      <w:pPr>
        <w:pStyle w:val="2"/>
        <w:keepNext w:val="0"/>
        <w:keepLines w:val="0"/>
        <w:pageBreakBefore w:val="0"/>
        <w:kinsoku/>
        <w:wordWrap/>
        <w:overflowPunct/>
        <w:topLinePunct w:val="0"/>
        <w:autoSpaceDE/>
        <w:autoSpaceDN/>
        <w:bidi w:val="0"/>
        <w:spacing w:line="578" w:lineRule="exact"/>
        <w:textAlignment w:val="auto"/>
        <w:rPr>
          <w:rFonts w:hint="eastAsia" w:ascii="方正小标宋_GBK" w:hAnsi="Times New Roman" w:eastAsia="方正小标宋_GBK" w:cs="Times New Roman"/>
          <w:bCs/>
          <w:color w:val="auto"/>
          <w:kern w:val="36"/>
          <w:sz w:val="36"/>
          <w:szCs w:val="36"/>
          <w:highlight w:val="none"/>
        </w:rPr>
      </w:pPr>
    </w:p>
    <w:p>
      <w:pPr>
        <w:keepNext w:val="0"/>
        <w:keepLines w:val="0"/>
        <w:pageBreakBefore w:val="0"/>
        <w:kinsoku/>
        <w:wordWrap/>
        <w:overflowPunct/>
        <w:topLinePunct w:val="0"/>
        <w:autoSpaceDE/>
        <w:autoSpaceDN/>
        <w:bidi w:val="0"/>
        <w:spacing w:line="578" w:lineRule="exact"/>
        <w:textAlignment w:val="auto"/>
        <w:rPr>
          <w:rFonts w:hint="eastAsia" w:ascii="方正小标宋_GBK" w:hAnsi="Times New Roman" w:eastAsia="方正小标宋_GBK" w:cs="Times New Roman"/>
          <w:bCs/>
          <w:color w:val="auto"/>
          <w:kern w:val="36"/>
          <w:sz w:val="36"/>
          <w:szCs w:val="36"/>
          <w:highlight w:val="none"/>
        </w:rPr>
      </w:pPr>
    </w:p>
    <w:p>
      <w:pPr>
        <w:pStyle w:val="2"/>
        <w:keepNext w:val="0"/>
        <w:keepLines w:val="0"/>
        <w:pageBreakBefore w:val="0"/>
        <w:kinsoku/>
        <w:wordWrap/>
        <w:overflowPunct/>
        <w:topLinePunct w:val="0"/>
        <w:autoSpaceDE/>
        <w:autoSpaceDN/>
        <w:bidi w:val="0"/>
        <w:spacing w:line="578" w:lineRule="exact"/>
        <w:textAlignment w:val="auto"/>
        <w:rPr>
          <w:rFonts w:hint="eastAsia"/>
          <w:color w:val="auto"/>
          <w:highlight w:val="none"/>
        </w:rPr>
      </w:pPr>
    </w:p>
    <w:p>
      <w:pPr>
        <w:keepNext w:val="0"/>
        <w:keepLines w:val="0"/>
        <w:pageBreakBefore w:val="0"/>
        <w:widowControl/>
        <w:kinsoku/>
        <w:wordWrap/>
        <w:overflowPunct/>
        <w:topLinePunct w:val="0"/>
        <w:autoSpaceDE/>
        <w:autoSpaceDN/>
        <w:bidi w:val="0"/>
        <w:adjustRightInd w:val="0"/>
        <w:snapToGrid w:val="0"/>
        <w:spacing w:line="578" w:lineRule="exact"/>
        <w:jc w:val="center"/>
        <w:textAlignment w:val="auto"/>
        <w:outlineLvl w:val="0"/>
        <w:rPr>
          <w:rFonts w:hint="eastAsia" w:ascii="方正小标宋_GBK" w:hAnsi="Times New Roman" w:eastAsia="方正小标宋_GBK" w:cs="Times New Roman"/>
          <w:bCs/>
          <w:color w:val="auto"/>
          <w:kern w:val="36"/>
          <w:sz w:val="36"/>
          <w:szCs w:val="36"/>
          <w:highlight w:val="none"/>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Chars="0"/>
        <w:jc w:val="center"/>
        <w:textAlignment w:val="auto"/>
        <w:outlineLvl w:val="0"/>
        <w:rPr>
          <w:rFonts w:hint="eastAsia" w:ascii="黑体" w:hAnsi="黑体" w:eastAsia="黑体" w:cs="黑体"/>
          <w:bCs/>
          <w:color w:val="auto"/>
          <w:kern w:val="36"/>
          <w:sz w:val="36"/>
          <w:szCs w:val="36"/>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Chars="0"/>
        <w:jc w:val="center"/>
        <w:textAlignment w:val="auto"/>
        <w:outlineLvl w:val="0"/>
        <w:rPr>
          <w:rFonts w:hint="eastAsia" w:ascii="黑体" w:hAnsi="黑体" w:eastAsia="黑体" w:cs="黑体"/>
          <w:bCs/>
          <w:color w:val="auto"/>
          <w:kern w:val="36"/>
          <w:sz w:val="36"/>
          <w:szCs w:val="36"/>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Chars="0"/>
        <w:jc w:val="center"/>
        <w:textAlignment w:val="auto"/>
        <w:outlineLvl w:val="0"/>
        <w:rPr>
          <w:rFonts w:hint="eastAsia" w:ascii="黑体" w:hAnsi="黑体" w:eastAsia="黑体" w:cs="黑体"/>
          <w:bCs/>
          <w:color w:val="auto"/>
          <w:kern w:val="36"/>
          <w:sz w:val="36"/>
          <w:szCs w:val="36"/>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Chars="0"/>
        <w:jc w:val="center"/>
        <w:textAlignment w:val="auto"/>
        <w:outlineLvl w:val="0"/>
        <w:rPr>
          <w:rFonts w:hint="eastAsia" w:ascii="黑体" w:hAnsi="黑体" w:eastAsia="黑体" w:cs="黑体"/>
          <w:bCs/>
          <w:color w:val="auto"/>
          <w:kern w:val="36"/>
          <w:sz w:val="36"/>
          <w:szCs w:val="36"/>
          <w:highlight w:val="none"/>
          <w:lang w:eastAsia="zh-CN"/>
        </w:rPr>
      </w:pPr>
    </w:p>
    <w:p>
      <w:pPr>
        <w:pStyle w:val="2"/>
        <w:rPr>
          <w:rFonts w:hint="eastAsia"/>
          <w:color w:val="auto"/>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Chars="0"/>
        <w:jc w:val="center"/>
        <w:textAlignment w:val="auto"/>
        <w:outlineLvl w:val="0"/>
        <w:rPr>
          <w:rFonts w:hint="eastAsia" w:ascii="黑体" w:hAnsi="黑体" w:eastAsia="黑体" w:cs="黑体"/>
          <w:bCs/>
          <w:color w:val="auto"/>
          <w:kern w:val="36"/>
          <w:sz w:val="36"/>
          <w:szCs w:val="36"/>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Chars="0"/>
        <w:jc w:val="center"/>
        <w:textAlignment w:val="auto"/>
        <w:outlineLvl w:val="0"/>
        <w:rPr>
          <w:rFonts w:hint="eastAsia" w:ascii="黑体" w:hAnsi="黑体" w:eastAsia="黑体" w:cs="黑体"/>
          <w:bCs/>
          <w:color w:val="auto"/>
          <w:kern w:val="36"/>
          <w:sz w:val="36"/>
          <w:szCs w:val="36"/>
          <w:highlight w:val="none"/>
        </w:rPr>
      </w:pPr>
      <w:r>
        <w:rPr>
          <w:rFonts w:hint="eastAsia" w:ascii="黑体" w:hAnsi="黑体" w:eastAsia="黑体" w:cs="黑体"/>
          <w:bCs/>
          <w:color w:val="auto"/>
          <w:kern w:val="36"/>
          <w:sz w:val="36"/>
          <w:szCs w:val="36"/>
          <w:highlight w:val="none"/>
          <w:lang w:eastAsia="zh-CN"/>
        </w:rPr>
        <w:t>第二章</w:t>
      </w:r>
      <w:r>
        <w:rPr>
          <w:rFonts w:hint="eastAsia" w:ascii="黑体" w:hAnsi="黑体" w:eastAsia="黑体" w:cs="黑体"/>
          <w:bCs/>
          <w:color w:val="auto"/>
          <w:kern w:val="36"/>
          <w:sz w:val="36"/>
          <w:szCs w:val="36"/>
          <w:highlight w:val="none"/>
          <w:lang w:val="en-US" w:eastAsia="zh-CN"/>
        </w:rPr>
        <w:t xml:space="preserve"> </w:t>
      </w:r>
      <w:r>
        <w:rPr>
          <w:rFonts w:hint="eastAsia" w:ascii="黑体" w:hAnsi="黑体" w:eastAsia="黑体" w:cs="黑体"/>
          <w:bCs/>
          <w:color w:val="auto"/>
          <w:kern w:val="36"/>
          <w:sz w:val="36"/>
          <w:szCs w:val="36"/>
          <w:highlight w:val="none"/>
        </w:rPr>
        <w:t>坚持新发展理念，推进市场监管现代化</w:t>
      </w:r>
      <w:bookmarkEnd w:id="0"/>
    </w:p>
    <w:p>
      <w:pPr>
        <w:pStyle w:val="2"/>
        <w:keepNext w:val="0"/>
        <w:keepLines w:val="0"/>
        <w:pageBreakBefore w:val="0"/>
        <w:kinsoku/>
        <w:wordWrap/>
        <w:overflowPunct/>
        <w:topLinePunct w:val="0"/>
        <w:autoSpaceDE/>
        <w:autoSpaceDN/>
        <w:bidi w:val="0"/>
        <w:spacing w:line="540" w:lineRule="exact"/>
        <w:textAlignment w:val="auto"/>
        <w:rPr>
          <w:rFonts w:hint="eastAsia"/>
          <w:color w:val="auto"/>
          <w:highlight w:val="none"/>
        </w:rPr>
      </w:pPr>
    </w:p>
    <w:p>
      <w:pPr>
        <w:keepNext w:val="0"/>
        <w:keepLines w:val="0"/>
        <w:pageBreakBefore w:val="0"/>
        <w:numPr>
          <w:ilvl w:val="0"/>
          <w:numId w:val="1"/>
        </w:numPr>
        <w:kinsoku/>
        <w:wordWrap/>
        <w:overflowPunct/>
        <w:topLinePunct w:val="0"/>
        <w:autoSpaceDE/>
        <w:autoSpaceDN/>
        <w:bidi w:val="0"/>
        <w:spacing w:line="540"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指导思想</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以习近平新时代中国特色社会主义思想为指导，全面贯彻</w:t>
      </w:r>
      <w:r>
        <w:rPr>
          <w:rFonts w:hint="eastAsia" w:ascii="仿宋_GB2312" w:hAnsi="仿宋_GB2312" w:eastAsia="仿宋_GB2312" w:cs="仿宋_GB2312"/>
          <w:color w:val="auto"/>
          <w:sz w:val="32"/>
          <w:szCs w:val="32"/>
          <w:highlight w:val="none"/>
          <w:lang w:eastAsia="zh-CN"/>
        </w:rPr>
        <w:t>党的</w:t>
      </w:r>
      <w:r>
        <w:rPr>
          <w:rFonts w:hint="eastAsia" w:ascii="仿宋_GB2312" w:hAnsi="仿宋_GB2312" w:eastAsia="仿宋_GB2312" w:cs="仿宋_GB2312"/>
          <w:color w:val="auto"/>
          <w:sz w:val="32"/>
          <w:szCs w:val="32"/>
          <w:highlight w:val="none"/>
        </w:rPr>
        <w:t>十九大和十九届</w:t>
      </w:r>
      <w:r>
        <w:rPr>
          <w:rFonts w:hint="eastAsia" w:ascii="仿宋_GB2312" w:hAnsi="仿宋_GB2312" w:eastAsia="仿宋_GB2312" w:cs="仿宋_GB2312"/>
          <w:color w:val="auto"/>
          <w:sz w:val="32"/>
          <w:szCs w:val="32"/>
          <w:highlight w:val="none"/>
          <w:lang w:eastAsia="zh-CN"/>
        </w:rPr>
        <w:t>历次</w:t>
      </w:r>
      <w:r>
        <w:rPr>
          <w:rFonts w:hint="eastAsia" w:ascii="仿宋_GB2312" w:hAnsi="仿宋_GB2312" w:eastAsia="仿宋_GB2312" w:cs="仿宋_GB2312"/>
          <w:color w:val="auto"/>
          <w:sz w:val="32"/>
          <w:szCs w:val="32"/>
          <w:highlight w:val="none"/>
        </w:rPr>
        <w:t>全会精神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认真贯彻落实习近平总书记考察安徽重要讲话指示</w:t>
      </w:r>
      <w:r>
        <w:rPr>
          <w:rFonts w:hint="eastAsia" w:ascii="仿宋_GB2312" w:hAnsi="仿宋_GB2312" w:eastAsia="仿宋_GB2312" w:cs="仿宋_GB2312"/>
          <w:color w:val="auto"/>
          <w:sz w:val="32"/>
          <w:szCs w:val="32"/>
          <w:highlight w:val="none"/>
          <w:lang w:eastAsia="zh-CN"/>
        </w:rPr>
        <w:t>批示</w:t>
      </w:r>
      <w:r>
        <w:rPr>
          <w:rFonts w:hint="eastAsia" w:ascii="仿宋_GB2312" w:hAnsi="仿宋_GB2312" w:eastAsia="仿宋_GB2312" w:cs="仿宋_GB2312"/>
          <w:color w:val="auto"/>
          <w:sz w:val="32"/>
          <w:szCs w:val="32"/>
          <w:highlight w:val="none"/>
        </w:rPr>
        <w:t>精神，立足新发展阶段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贯彻新发展理念，服务新发展格局，把握“大市场、大质量、大监管”，坚持创优市场准入环境、激发市场主体活力，坚持创优市场竞争环境、推动建设高标准市场体系，坚持加强消费环境建设、全面促进消费升级，坚持深化质量强</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建设、推动经济体系优化转型，坚持深化知识产权强</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建设、促进创新驱动发展，坚持严守市场安全底线促进平安</w:t>
      </w:r>
      <w:r>
        <w:rPr>
          <w:rFonts w:hint="eastAsia" w:ascii="仿宋_GB2312" w:hAnsi="仿宋_GB2312" w:eastAsia="仿宋_GB2312" w:cs="仿宋_GB2312"/>
          <w:color w:val="auto"/>
          <w:sz w:val="32"/>
          <w:szCs w:val="32"/>
          <w:highlight w:val="none"/>
          <w:lang w:eastAsia="zh-CN"/>
        </w:rPr>
        <w:t>淮北</w:t>
      </w:r>
      <w:r>
        <w:rPr>
          <w:rFonts w:hint="eastAsia" w:ascii="仿宋_GB2312" w:hAnsi="仿宋_GB2312" w:eastAsia="仿宋_GB2312" w:cs="仿宋_GB2312"/>
          <w:color w:val="auto"/>
          <w:sz w:val="32"/>
          <w:szCs w:val="32"/>
          <w:highlight w:val="none"/>
        </w:rPr>
        <w:t>建设，坚持服务区域经济发展、推动更高水平对外开放，坚持完善履职支撑体系、加快推进市场能力现代化，为我</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加快打造“一地两区一城”，建设具有重要影响力的创新淮北、实力淮北、美丽淮北、幸福淮北、效能淮北，</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rPr>
        <w:t>建设新阶段现代化美好淮北作出积极贡献</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基本原则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kern w:val="0"/>
          <w:sz w:val="32"/>
          <w:szCs w:val="32"/>
          <w:highlight w:val="none"/>
          <w:lang w:eastAsia="zh-CN"/>
        </w:rPr>
        <w:t>——</w:t>
      </w:r>
      <w:r>
        <w:rPr>
          <w:rFonts w:hint="eastAsia" w:ascii="楷体_GB2312" w:hAnsi="楷体_GB2312" w:eastAsia="楷体_GB2312" w:cs="楷体_GB2312"/>
          <w:b/>
          <w:bCs/>
          <w:color w:val="auto"/>
          <w:kern w:val="0"/>
          <w:sz w:val="32"/>
          <w:szCs w:val="32"/>
          <w:highlight w:val="none"/>
        </w:rPr>
        <w:t>坚持服务全局原则。</w:t>
      </w:r>
      <w:r>
        <w:rPr>
          <w:rFonts w:hint="eastAsia" w:ascii="仿宋_GB2312" w:hAnsi="仿宋_GB2312" w:eastAsia="仿宋_GB2312" w:cs="仿宋_GB2312"/>
          <w:color w:val="auto"/>
          <w:sz w:val="32"/>
          <w:szCs w:val="32"/>
          <w:highlight w:val="none"/>
        </w:rPr>
        <w:t>增强战略意识，强化全局观念，更加自觉地把市场监管工作放到全市经济社会发展全局中去谋划和把握。围绕高质量发展，着力实施质量强市战略，进一步提升产品和服务质量；围绕创新驱动发展，着力推进知识产权创新创造，进一步增强产业核心竞争力；围绕优化营商环境，着力深化“放管服”改革，进一步创造公平竞争的制度环境。围绕形成强大国内市场，着力改善消费环境，进一步释放消费潜力；围绕实施食品安全战略，着力推进食品安全示范市建设，进一步保障“舌尖上的安全”；围绕全方位对外开放，着力完善市场监管规则，进一步提升国际竞争力，不断增强围绕中心、服务大局的能力和水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kern w:val="0"/>
          <w:sz w:val="32"/>
          <w:szCs w:val="32"/>
          <w:highlight w:val="none"/>
          <w:lang w:eastAsia="zh-CN"/>
        </w:rPr>
        <w:t>——坚持心系人民原则。</w:t>
      </w:r>
      <w:r>
        <w:rPr>
          <w:rFonts w:hint="eastAsia" w:ascii="仿宋_GB2312" w:hAnsi="仿宋_GB2312" w:eastAsia="仿宋_GB2312" w:cs="仿宋_GB2312"/>
          <w:color w:val="auto"/>
          <w:sz w:val="32"/>
          <w:szCs w:val="32"/>
          <w:highlight w:val="none"/>
        </w:rPr>
        <w:t>坚持以人民为中心的发展思想，是习近平新时代中国特色社会主义思想的根本立场。必须始终坚持心系人民，把维护最广大人民群众根本利益作为一切工作的出发点和落脚点，顺应民心、尊重民意、关注民情、致力民生，着力完善为民谋利、为民办事、为民解忧和保障人民权益、接受人民监督的市场监管体制机制，通过严格市场监管、质量监管、安全监管，让广大人民群众有更多、更直接、更实在的获得感、幸福感、安全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eastAsia="zh-CN"/>
        </w:rPr>
        <w:t>——坚持依法监管原则。</w:t>
      </w:r>
      <w:r>
        <w:rPr>
          <w:rFonts w:hint="eastAsia" w:ascii="仿宋_GB2312" w:hAnsi="仿宋_GB2312" w:eastAsia="仿宋_GB2312" w:cs="仿宋_GB2312"/>
          <w:color w:val="auto"/>
          <w:sz w:val="32"/>
          <w:szCs w:val="32"/>
          <w:highlight w:val="none"/>
        </w:rPr>
        <w:t>必须始终坚持把依法行政作为严格履职的重要准则和严格监管的重要保障，牢固树立依法监管理念。强化法治思维，严格依据法定程序、权限、职责办事，按照“谁主管谁负责、谁审批谁负责”的原则，厘清职能边界、明确权责范围，切实做到法定职责必须为、法无授权不可为；强化法治约束，按照建设法治政府的要求，切实做到严格规范公正文明执法，推动市场监管工作全面纳入法治轨道；强化法治保障，坚持把依法监管作为市场监管部门固根本、强基础、利长远的重要支撑，更好地发挥法治在市场监管中的保障性作用，为全面规范市场秩序保驾护航。</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宋体" w:eastAsia="仿宋_GB2312" w:cs="宋体"/>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eastAsia="zh-CN"/>
        </w:rPr>
        <w:t>——坚持改革创新原则。</w:t>
      </w:r>
      <w:r>
        <w:rPr>
          <w:rFonts w:hint="eastAsia" w:ascii="仿宋_GB2312" w:hAnsi="宋体" w:eastAsia="仿宋_GB2312" w:cs="宋体"/>
          <w:color w:val="auto"/>
          <w:kern w:val="0"/>
          <w:sz w:val="32"/>
          <w:szCs w:val="32"/>
          <w:highlight w:val="none"/>
        </w:rPr>
        <w:t>坚持用改革的观念来为监管开路，用创新的思维来为发展破题，用改革创新的方法来破解市场监管中各种观念桎梏、体制障碍和瓶颈制约。全面强化改革创新思维，凡是不适应高质量发展要求的理念、思路、做法，坚决改革；凡是不符合现代市场体系要求的体制、机制、模式，坚决创新，最大程度激发蕴藏在基层的创新伟力。</w:t>
      </w:r>
      <w:r>
        <w:rPr>
          <w:rFonts w:hint="eastAsia" w:ascii="仿宋_GB2312" w:hAnsi="宋体" w:eastAsia="仿宋_GB2312" w:cs="宋体"/>
          <w:color w:val="auto"/>
          <w:kern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宋体" w:eastAsia="仿宋_GB2312" w:cs="宋体"/>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eastAsia="zh-CN"/>
        </w:rPr>
        <w:t>——坚持严守底线原则。</w:t>
      </w:r>
      <w:r>
        <w:rPr>
          <w:rFonts w:hint="eastAsia" w:ascii="仿宋_GB2312" w:hAnsi="宋体" w:eastAsia="仿宋_GB2312" w:cs="宋体"/>
          <w:color w:val="auto"/>
          <w:kern w:val="0"/>
          <w:sz w:val="32"/>
          <w:szCs w:val="32"/>
          <w:highlight w:val="none"/>
        </w:rPr>
        <w:t>科学谋划和推动新时代市场监管工作，增强工作的主动性、针对性和预见性；坚持底线思维和创新思维相结合，保持方向不变、路线不偏、力度不减。严守安全底线，认真落实习近平总书记提出的“四个最严”要求，源头严防、过程严管、风险严控，确保人民群众买得放心、用得放心、吃得放心；严守职责底线，坚决扛起改革责任，忠实履行监管使命，切实维护群众利益，积极推动高质量发展，始终做到守土有责、守土负责、守土尽责；严守廉政底线，时刻保持自重、自省、自警、自律，做到心有所畏、言有所戒、行有所止，坚决在廉洁自律上守住底线、筑牢防线、不越红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三、主要目标</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kern w:val="0"/>
          <w:sz w:val="32"/>
          <w:szCs w:val="32"/>
          <w:highlight w:val="none"/>
          <w:lang w:eastAsia="zh-CN"/>
        </w:rPr>
        <w:t>——市场准入环境更加便捷。</w:t>
      </w:r>
      <w:r>
        <w:rPr>
          <w:rFonts w:hint="eastAsia" w:ascii="仿宋_GB2312" w:hAnsi="仿宋_GB2312" w:eastAsia="仿宋_GB2312" w:cs="仿宋_GB2312"/>
          <w:color w:val="auto"/>
          <w:sz w:val="32"/>
          <w:szCs w:val="32"/>
          <w:highlight w:val="none"/>
        </w:rPr>
        <w:t>商事制度改革纵深推进，市场主体进入和退出更加便捷高效，创业创新的市场环境不断改善，市场主体稳定增长、活跃发展、质量全面提高。</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kern w:val="0"/>
          <w:sz w:val="32"/>
          <w:szCs w:val="32"/>
          <w:highlight w:val="none"/>
          <w:lang w:eastAsia="zh-CN"/>
        </w:rPr>
        <w:t>——市场竞争秩序更加公平。</w:t>
      </w:r>
      <w:r>
        <w:rPr>
          <w:rFonts w:hint="eastAsia" w:ascii="仿宋_GB2312" w:hAnsi="仿宋_GB2312" w:eastAsia="仿宋_GB2312" w:cs="仿宋_GB2312"/>
          <w:color w:val="auto"/>
          <w:sz w:val="32"/>
          <w:szCs w:val="32"/>
          <w:highlight w:val="none"/>
        </w:rPr>
        <w:t>竞争政策基础地位不断巩固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公平竞争审查制度全面落实，反垄断和反不正当竞争执法成效显著，影响市场竞争秩序的突出问题得到有效治理，公平竞争、优胜劣汰机制进一步建立健全。</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kern w:val="0"/>
          <w:sz w:val="32"/>
          <w:szCs w:val="32"/>
          <w:highlight w:val="none"/>
          <w:lang w:eastAsia="zh-CN"/>
        </w:rPr>
        <w:t>——市场消费环境更加优化。</w:t>
      </w:r>
      <w:r>
        <w:rPr>
          <w:rFonts w:hint="eastAsia" w:ascii="仿宋_GB2312" w:hAnsi="仿宋_GB2312" w:eastAsia="仿宋_GB2312" w:cs="仿宋_GB2312"/>
          <w:color w:val="auto"/>
          <w:sz w:val="32"/>
          <w:szCs w:val="32"/>
          <w:highlight w:val="none"/>
        </w:rPr>
        <w:t>消费投诉举报系统不断优化，消费投诉公示制度全面推行；消费者低成本、高效率的维权机制更加健全，放心满意消费创建活动向纵深推进，维权社会化水平明显提高。</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kern w:val="0"/>
          <w:sz w:val="32"/>
          <w:szCs w:val="32"/>
          <w:highlight w:val="none"/>
          <w:lang w:eastAsia="zh-CN"/>
        </w:rPr>
        <w:t>——市场供给质量全面改善。</w:t>
      </w:r>
      <w:r>
        <w:rPr>
          <w:rFonts w:hint="eastAsia" w:ascii="仿宋_GB2312" w:hAnsi="仿宋_GB2312" w:eastAsia="仿宋_GB2312" w:cs="仿宋_GB2312"/>
          <w:color w:val="auto"/>
          <w:sz w:val="32"/>
          <w:szCs w:val="32"/>
          <w:highlight w:val="none"/>
        </w:rPr>
        <w:t>质量强</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建设、知识产权强</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战略深入实施，质量促进机制、政策措施不断完善，质量基础设施全面夯实，中高端产品和优质服务供给大幅增加，质量提升、创新驱动的发展动力更加强劲。</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kern w:val="0"/>
          <w:sz w:val="32"/>
          <w:szCs w:val="32"/>
          <w:highlight w:val="none"/>
          <w:lang w:eastAsia="zh-CN"/>
        </w:rPr>
        <w:t>——市场安全形势更加平稳。</w:t>
      </w:r>
      <w:r>
        <w:rPr>
          <w:rFonts w:hint="eastAsia" w:ascii="仿宋_GB2312" w:hAnsi="仿宋_GB2312" w:eastAsia="仿宋_GB2312" w:cs="仿宋_GB2312"/>
          <w:color w:val="auto"/>
          <w:sz w:val="32"/>
          <w:szCs w:val="32"/>
          <w:highlight w:val="none"/>
        </w:rPr>
        <w:t>与全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高质量发展相适应的市场监管领域安全治理体系基本建立，食品药品、特种设备、工业产品质量安全监管力度进一步加大，安全风险分析、预警、响应、处置系统不断完善，重大质量安全事故和系统性区域性风险得到有效遏制。</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kern w:val="0"/>
          <w:sz w:val="32"/>
          <w:szCs w:val="32"/>
          <w:highlight w:val="none"/>
          <w:lang w:eastAsia="zh-CN"/>
        </w:rPr>
        <w:t>——市场监管效能全面提升。</w:t>
      </w:r>
      <w:r>
        <w:rPr>
          <w:rFonts w:hint="eastAsia" w:ascii="仿宋_GB2312" w:hAnsi="仿宋_GB2312" w:eastAsia="仿宋_GB2312" w:cs="仿宋_GB2312"/>
          <w:color w:val="auto"/>
          <w:sz w:val="32"/>
          <w:szCs w:val="32"/>
          <w:highlight w:val="none"/>
        </w:rPr>
        <w:t>上下贯通、系统集成、协同高效的市场监管体制逐渐成熟定型，“双随机、一公开”监管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信用监管、智慧监管等新型监管机制更加完善，社会多元共治的监管格局初步形成，监管科学性有效性明显提高，监管体系和监管能力现代化水平显著提升。</w:t>
      </w:r>
    </w:p>
    <w:p>
      <w:pPr>
        <w:pStyle w:val="2"/>
        <w:keepNext w:val="0"/>
        <w:keepLines w:val="0"/>
        <w:pageBreakBefore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i w:val="0"/>
          <w:caps w:val="0"/>
          <w:color w:val="auto"/>
          <w:spacing w:val="0"/>
          <w:sz w:val="44"/>
          <w:szCs w:val="44"/>
          <w:highlight w:val="none"/>
        </w:rPr>
      </w:pPr>
    </w:p>
    <w:p>
      <w:pPr>
        <w:pStyle w:val="2"/>
        <w:keepNext w:val="0"/>
        <w:keepLines w:val="0"/>
        <w:pageBreakBefore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i w:val="0"/>
          <w:caps w:val="0"/>
          <w:color w:val="auto"/>
          <w:spacing w:val="0"/>
          <w:sz w:val="44"/>
          <w:szCs w:val="44"/>
          <w:highlight w:val="none"/>
        </w:rPr>
      </w:pPr>
    </w:p>
    <w:p>
      <w:pPr>
        <w:rPr>
          <w:rFonts w:hint="eastAsia"/>
          <w:color w:val="auto"/>
          <w:highlight w:val="none"/>
        </w:rPr>
      </w:pPr>
    </w:p>
    <w:p>
      <w:pPr>
        <w:pStyle w:val="2"/>
        <w:keepNext w:val="0"/>
        <w:keepLines w:val="0"/>
        <w:pageBreakBefore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i w:val="0"/>
          <w:caps w:val="0"/>
          <w:color w:val="auto"/>
          <w:spacing w:val="0"/>
          <w:sz w:val="44"/>
          <w:szCs w:val="44"/>
          <w:highlight w:val="none"/>
        </w:rPr>
      </w:pPr>
    </w:p>
    <w:p>
      <w:pPr>
        <w:pStyle w:val="2"/>
        <w:keepNext w:val="0"/>
        <w:keepLines w:val="0"/>
        <w:pageBreakBefore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i w:val="0"/>
          <w:caps w:val="0"/>
          <w:color w:val="auto"/>
          <w:spacing w:val="0"/>
          <w:sz w:val="44"/>
          <w:szCs w:val="44"/>
          <w:highlight w:val="none"/>
        </w:rPr>
      </w:pPr>
      <w:r>
        <w:rPr>
          <w:rFonts w:hint="eastAsia" w:ascii="方正小标宋简体" w:hAnsi="方正小标宋简体" w:eastAsia="方正小标宋简体" w:cs="方正小标宋简体"/>
          <w:i w:val="0"/>
          <w:caps w:val="0"/>
          <w:color w:val="auto"/>
          <w:spacing w:val="0"/>
          <w:sz w:val="44"/>
          <w:szCs w:val="44"/>
          <w:highlight w:val="none"/>
        </w:rPr>
        <w:t>“十四五”时期市场监管主要指标</w:t>
      </w:r>
    </w:p>
    <w:tbl>
      <w:tblPr>
        <w:tblStyle w:val="8"/>
        <w:tblW w:w="8880" w:type="dxa"/>
        <w:tblInd w:w="10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80"/>
        <w:gridCol w:w="4733"/>
        <w:gridCol w:w="1684"/>
        <w:gridCol w:w="11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4" w:hRule="atLeast"/>
        </w:trPr>
        <w:tc>
          <w:tcPr>
            <w:tcW w:w="12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eastAsia" w:ascii="黑体" w:hAnsi="黑体" w:eastAsia="黑体" w:cs="黑体"/>
                <w:color w:val="auto"/>
                <w:sz w:val="32"/>
                <w:szCs w:val="32"/>
                <w:highlight w:val="none"/>
              </w:rPr>
            </w:pPr>
            <w:r>
              <w:rPr>
                <w:rFonts w:hint="eastAsia" w:ascii="黑体" w:hAnsi="黑体" w:eastAsia="黑体" w:cs="黑体"/>
                <w:i w:val="0"/>
                <w:caps w:val="0"/>
                <w:color w:val="auto"/>
                <w:spacing w:val="0"/>
                <w:sz w:val="32"/>
                <w:szCs w:val="32"/>
                <w:highlight w:val="none"/>
              </w:rPr>
              <w:t>类别</w:t>
            </w:r>
          </w:p>
        </w:tc>
        <w:tc>
          <w:tcPr>
            <w:tcW w:w="47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eastAsia" w:ascii="黑体" w:hAnsi="黑体" w:eastAsia="黑体" w:cs="黑体"/>
                <w:color w:val="auto"/>
                <w:sz w:val="32"/>
                <w:szCs w:val="32"/>
                <w:highlight w:val="none"/>
              </w:rPr>
            </w:pPr>
            <w:r>
              <w:rPr>
                <w:rFonts w:hint="eastAsia" w:ascii="黑体" w:hAnsi="黑体" w:eastAsia="黑体" w:cs="黑体"/>
                <w:i w:val="0"/>
                <w:caps w:val="0"/>
                <w:color w:val="auto"/>
                <w:spacing w:val="0"/>
                <w:sz w:val="32"/>
                <w:szCs w:val="32"/>
                <w:highlight w:val="none"/>
              </w:rPr>
              <w:t>指标</w:t>
            </w:r>
          </w:p>
        </w:tc>
        <w:tc>
          <w:tcPr>
            <w:tcW w:w="168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eastAsia" w:ascii="黑体" w:hAnsi="黑体" w:eastAsia="黑体" w:cs="黑体"/>
                <w:color w:val="auto"/>
                <w:sz w:val="32"/>
                <w:szCs w:val="32"/>
                <w:highlight w:val="none"/>
              </w:rPr>
            </w:pPr>
            <w:r>
              <w:rPr>
                <w:rFonts w:hint="eastAsia" w:ascii="黑体" w:hAnsi="黑体" w:eastAsia="黑体" w:cs="黑体"/>
                <w:i w:val="0"/>
                <w:caps w:val="0"/>
                <w:color w:val="auto"/>
                <w:spacing w:val="0"/>
                <w:sz w:val="32"/>
                <w:szCs w:val="32"/>
                <w:highlight w:val="none"/>
              </w:rPr>
              <w:t>2025年</w:t>
            </w:r>
          </w:p>
        </w:tc>
        <w:tc>
          <w:tcPr>
            <w:tcW w:w="118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eastAsia" w:ascii="黑体" w:hAnsi="黑体" w:eastAsia="黑体" w:cs="黑体"/>
                <w:color w:val="auto"/>
                <w:sz w:val="32"/>
                <w:szCs w:val="32"/>
                <w:highlight w:val="none"/>
              </w:rPr>
            </w:pPr>
            <w:r>
              <w:rPr>
                <w:rFonts w:hint="eastAsia" w:ascii="黑体" w:hAnsi="黑体" w:eastAsia="黑体" w:cs="黑体"/>
                <w:i w:val="0"/>
                <w:caps w:val="0"/>
                <w:color w:val="auto"/>
                <w:spacing w:val="0"/>
                <w:sz w:val="32"/>
                <w:szCs w:val="32"/>
                <w:highlight w:val="none"/>
              </w:rPr>
              <w:t>属性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8" w:hRule="atLeast"/>
        </w:trPr>
        <w:tc>
          <w:tcPr>
            <w:tcW w:w="1280"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市场活力</w:t>
            </w:r>
          </w:p>
        </w:tc>
        <w:tc>
          <w:tcPr>
            <w:tcW w:w="473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left"/>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1.企业开办时间（工作日）</w:t>
            </w:r>
          </w:p>
        </w:tc>
        <w:tc>
          <w:tcPr>
            <w:tcW w:w="168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lang w:val="en-US" w:eastAsia="zh-CN"/>
              </w:rPr>
              <w:t>&lt;</w:t>
            </w:r>
            <w:r>
              <w:rPr>
                <w:rFonts w:hint="eastAsia" w:ascii="宋体" w:hAnsi="宋体" w:eastAsia="宋体" w:cs="宋体"/>
                <w:i w:val="0"/>
                <w:caps w:val="0"/>
                <w:color w:val="auto"/>
                <w:spacing w:val="0"/>
                <w:sz w:val="24"/>
                <w:szCs w:val="24"/>
                <w:highlight w:val="none"/>
              </w:rPr>
              <w:t>1</w:t>
            </w:r>
          </w:p>
        </w:tc>
        <w:tc>
          <w:tcPr>
            <w:tcW w:w="11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8" w:hRule="atLeast"/>
        </w:trPr>
        <w:tc>
          <w:tcPr>
            <w:tcW w:w="1280"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eastAsia" w:ascii="宋体" w:hAnsi="宋体" w:eastAsia="宋体" w:cs="宋体"/>
                <w:i w:val="0"/>
                <w:caps w:val="0"/>
                <w:color w:val="auto"/>
                <w:spacing w:val="0"/>
                <w:sz w:val="24"/>
                <w:szCs w:val="24"/>
                <w:highlight w:val="none"/>
              </w:rPr>
            </w:pPr>
          </w:p>
        </w:tc>
        <w:tc>
          <w:tcPr>
            <w:tcW w:w="473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left"/>
              <w:rPr>
                <w:rFonts w:hint="eastAsia" w:ascii="Calibri" w:hAnsi="Calibri" w:cs="Calibri" w:eastAsiaTheme="minorEastAsia"/>
                <w:kern w:val="0"/>
                <w:sz w:val="28"/>
                <w:szCs w:val="28"/>
                <w:lang w:val="en-US" w:eastAsia="zh-CN" w:bidi="ar"/>
              </w:rPr>
            </w:pPr>
            <w:r>
              <w:rPr>
                <w:rFonts w:hint="eastAsia" w:ascii="宋体" w:hAnsi="宋体" w:eastAsia="宋体" w:cs="宋体"/>
                <w:i w:val="0"/>
                <w:caps w:val="0"/>
                <w:color w:val="333333"/>
                <w:spacing w:val="0"/>
                <w:sz w:val="24"/>
                <w:szCs w:val="24"/>
              </w:rPr>
              <w:t>2.</w:t>
            </w:r>
            <w:r>
              <w:rPr>
                <w:rFonts w:hint="eastAsia" w:ascii="宋体" w:hAnsi="宋体" w:eastAsia="宋体" w:cs="宋体"/>
                <w:i w:val="0"/>
                <w:caps w:val="0"/>
                <w:color w:val="333333"/>
                <w:spacing w:val="0"/>
                <w:sz w:val="24"/>
                <w:szCs w:val="24"/>
                <w:lang w:eastAsia="zh-CN"/>
              </w:rPr>
              <w:t>全市</w:t>
            </w:r>
            <w:r>
              <w:rPr>
                <w:rFonts w:hint="eastAsia" w:ascii="宋体" w:hAnsi="宋体" w:eastAsia="宋体" w:cs="宋体"/>
                <w:i w:val="0"/>
                <w:caps w:val="0"/>
                <w:color w:val="333333"/>
                <w:spacing w:val="0"/>
                <w:sz w:val="24"/>
                <w:szCs w:val="24"/>
              </w:rPr>
              <w:t>市场主体总量（万户）</w:t>
            </w:r>
          </w:p>
        </w:tc>
        <w:tc>
          <w:tcPr>
            <w:tcW w:w="168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Calibri" w:hAnsi="Calibri" w:eastAsia="宋体" w:cs="Calibri"/>
                <w:kern w:val="0"/>
                <w:sz w:val="28"/>
                <w:szCs w:val="28"/>
                <w:lang w:val="en-US" w:eastAsia="zh-CN" w:bidi="ar"/>
              </w:rPr>
            </w:pPr>
            <w:r>
              <w:rPr>
                <w:rFonts w:hint="eastAsia" w:ascii="宋体" w:hAnsi="宋体" w:eastAsia="宋体" w:cs="宋体"/>
                <w:i w:val="0"/>
                <w:caps w:val="0"/>
                <w:color w:val="333333"/>
                <w:spacing w:val="0"/>
                <w:sz w:val="24"/>
                <w:szCs w:val="24"/>
              </w:rPr>
              <w:t>&gt;</w:t>
            </w:r>
            <w:r>
              <w:rPr>
                <w:rFonts w:hint="eastAsia" w:ascii="宋体" w:hAnsi="宋体" w:eastAsia="宋体" w:cs="宋体"/>
                <w:i w:val="0"/>
                <w:caps w:val="0"/>
                <w:color w:val="333333"/>
                <w:spacing w:val="0"/>
                <w:sz w:val="24"/>
                <w:szCs w:val="24"/>
                <w:lang w:val="en-US" w:eastAsia="zh-CN"/>
              </w:rPr>
              <w:t>28</w:t>
            </w:r>
          </w:p>
        </w:tc>
        <w:tc>
          <w:tcPr>
            <w:tcW w:w="11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jc w:val="center"/>
              <w:rPr>
                <w:rFonts w:hint="eastAsia" w:ascii="Calibri" w:hAnsi="Calibri" w:cs="Calibri" w:eastAsiaTheme="minorEastAsia"/>
                <w:kern w:val="0"/>
                <w:sz w:val="28"/>
                <w:szCs w:val="28"/>
                <w:lang w:val="en-US" w:eastAsia="zh-CN" w:bidi="ar"/>
              </w:rPr>
            </w:pPr>
            <w:r>
              <w:rPr>
                <w:rFonts w:hint="eastAsia" w:ascii="宋体" w:hAnsi="宋体" w:eastAsia="宋体" w:cs="宋体"/>
                <w:i w:val="0"/>
                <w:caps w:val="0"/>
                <w:color w:val="333333"/>
                <w:spacing w:val="0"/>
                <w:sz w:val="24"/>
                <w:szCs w:val="24"/>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8" w:hRule="atLeast"/>
        </w:trPr>
        <w:tc>
          <w:tcPr>
            <w:tcW w:w="128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78" w:lineRule="exact"/>
              <w:jc w:val="both"/>
              <w:textAlignment w:val="auto"/>
              <w:rPr>
                <w:rFonts w:hint="default" w:ascii="Times New Roman" w:hAnsi="Times New Roman" w:cs="Times New Roman"/>
                <w:i w:val="0"/>
                <w:caps w:val="0"/>
                <w:color w:val="auto"/>
                <w:spacing w:val="0"/>
                <w:sz w:val="20"/>
                <w:szCs w:val="20"/>
                <w:highlight w:val="none"/>
              </w:rPr>
            </w:pPr>
          </w:p>
        </w:tc>
        <w:tc>
          <w:tcPr>
            <w:tcW w:w="47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left"/>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lang w:val="en-US" w:eastAsia="zh-CN"/>
              </w:rPr>
              <w:t>3</w:t>
            </w:r>
            <w:r>
              <w:rPr>
                <w:rFonts w:hint="eastAsia" w:ascii="宋体" w:hAnsi="宋体" w:eastAsia="宋体" w:cs="宋体"/>
                <w:i w:val="0"/>
                <w:caps w:val="0"/>
                <w:color w:val="auto"/>
                <w:spacing w:val="0"/>
                <w:sz w:val="24"/>
                <w:szCs w:val="24"/>
                <w:highlight w:val="none"/>
              </w:rPr>
              <w:t>.中国质量奖数量（个）</w:t>
            </w:r>
          </w:p>
        </w:tc>
        <w:tc>
          <w:tcPr>
            <w:tcW w:w="16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eastAsia="微软雅黑" w:cs="Calibri"/>
                <w:color w:val="auto"/>
                <w:sz w:val="28"/>
                <w:szCs w:val="28"/>
                <w:highlight w:val="none"/>
                <w:lang w:val="en-US" w:eastAsia="zh-CN"/>
              </w:rPr>
            </w:pPr>
            <w:r>
              <w:rPr>
                <w:rFonts w:hint="eastAsia" w:ascii="宋体" w:hAnsi="宋体" w:eastAsia="宋体" w:cs="宋体"/>
                <w:i w:val="0"/>
                <w:caps w:val="0"/>
                <w:color w:val="auto"/>
                <w:spacing w:val="0"/>
                <w:sz w:val="24"/>
                <w:szCs w:val="24"/>
                <w:highlight w:val="none"/>
                <w:lang w:eastAsia="zh-CN"/>
              </w:rPr>
              <w:t>培育推荐</w:t>
            </w:r>
            <w:r>
              <w:rPr>
                <w:rFonts w:hint="eastAsia" w:ascii="宋体" w:hAnsi="宋体" w:eastAsia="宋体" w:cs="宋体"/>
                <w:i w:val="0"/>
                <w:caps w:val="0"/>
                <w:color w:val="auto"/>
                <w:spacing w:val="0"/>
                <w:sz w:val="24"/>
                <w:szCs w:val="24"/>
                <w:highlight w:val="none"/>
                <w:lang w:val="en-US" w:eastAsia="zh-CN"/>
              </w:rPr>
              <w:t>1个组织或个人</w:t>
            </w:r>
          </w:p>
        </w:tc>
        <w:tc>
          <w:tcPr>
            <w:tcW w:w="11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8" w:hRule="atLeast"/>
        </w:trPr>
        <w:tc>
          <w:tcPr>
            <w:tcW w:w="128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78" w:lineRule="exact"/>
              <w:jc w:val="both"/>
              <w:textAlignment w:val="auto"/>
              <w:rPr>
                <w:rFonts w:hint="default" w:ascii="Times New Roman" w:hAnsi="Times New Roman" w:cs="Times New Roman"/>
                <w:i w:val="0"/>
                <w:caps w:val="0"/>
                <w:color w:val="auto"/>
                <w:spacing w:val="0"/>
                <w:sz w:val="20"/>
                <w:szCs w:val="20"/>
                <w:highlight w:val="none"/>
              </w:rPr>
            </w:pPr>
          </w:p>
        </w:tc>
        <w:tc>
          <w:tcPr>
            <w:tcW w:w="47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left"/>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lang w:val="en-US" w:eastAsia="zh-CN"/>
              </w:rPr>
              <w:t>4</w:t>
            </w:r>
            <w:r>
              <w:rPr>
                <w:rFonts w:hint="eastAsia" w:ascii="宋体" w:hAnsi="宋体" w:eastAsia="宋体" w:cs="宋体"/>
                <w:i w:val="0"/>
                <w:caps w:val="0"/>
                <w:color w:val="auto"/>
                <w:spacing w:val="0"/>
                <w:sz w:val="24"/>
                <w:szCs w:val="24"/>
                <w:highlight w:val="none"/>
              </w:rPr>
              <w:t>.每万人口拥有高价值发明专利数（件）</w:t>
            </w:r>
          </w:p>
        </w:tc>
        <w:tc>
          <w:tcPr>
            <w:tcW w:w="16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eastAsia="微软雅黑" w:cs="Calibri"/>
                <w:color w:val="auto"/>
                <w:sz w:val="28"/>
                <w:szCs w:val="28"/>
                <w:highlight w:val="none"/>
                <w:lang w:val="en-US" w:eastAsia="zh-CN"/>
              </w:rPr>
            </w:pPr>
            <w:r>
              <w:rPr>
                <w:rFonts w:hint="eastAsia" w:ascii="宋体" w:hAnsi="宋体" w:eastAsia="宋体" w:cs="宋体"/>
                <w:b w:val="0"/>
                <w:bCs w:val="0"/>
                <w:i w:val="0"/>
                <w:caps w:val="0"/>
                <w:color w:val="auto"/>
                <w:spacing w:val="0"/>
                <w:sz w:val="24"/>
                <w:szCs w:val="24"/>
                <w:highlight w:val="none"/>
                <w:lang w:val="en-US" w:eastAsia="zh-CN"/>
              </w:rPr>
              <w:t>4</w:t>
            </w:r>
          </w:p>
        </w:tc>
        <w:tc>
          <w:tcPr>
            <w:tcW w:w="11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8" w:hRule="atLeast"/>
        </w:trPr>
        <w:tc>
          <w:tcPr>
            <w:tcW w:w="128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78" w:lineRule="exact"/>
              <w:jc w:val="both"/>
              <w:textAlignment w:val="auto"/>
              <w:rPr>
                <w:rFonts w:hint="default" w:ascii="Times New Roman" w:hAnsi="Times New Roman" w:cs="Times New Roman"/>
                <w:i w:val="0"/>
                <w:caps w:val="0"/>
                <w:color w:val="auto"/>
                <w:spacing w:val="0"/>
                <w:sz w:val="20"/>
                <w:szCs w:val="20"/>
                <w:highlight w:val="none"/>
              </w:rPr>
            </w:pPr>
          </w:p>
        </w:tc>
        <w:tc>
          <w:tcPr>
            <w:tcW w:w="47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left"/>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lang w:val="en-US" w:eastAsia="zh-CN"/>
              </w:rPr>
              <w:t>5</w:t>
            </w:r>
            <w:r>
              <w:rPr>
                <w:rFonts w:hint="eastAsia" w:ascii="宋体" w:hAnsi="宋体" w:eastAsia="宋体" w:cs="宋体"/>
                <w:i w:val="0"/>
                <w:caps w:val="0"/>
                <w:color w:val="auto"/>
                <w:spacing w:val="0"/>
                <w:sz w:val="24"/>
                <w:szCs w:val="24"/>
                <w:highlight w:val="none"/>
              </w:rPr>
              <w:t>.知识产权质押融资登记金额（亿元）</w:t>
            </w:r>
          </w:p>
        </w:tc>
        <w:tc>
          <w:tcPr>
            <w:tcW w:w="16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eastAsia" w:ascii="Calibri" w:hAnsi="Calibri" w:eastAsia="微软雅黑" w:cs="Calibri"/>
                <w:color w:val="auto"/>
                <w:sz w:val="28"/>
                <w:szCs w:val="28"/>
                <w:highlight w:val="none"/>
                <w:lang w:eastAsia="zh-CN"/>
              </w:rPr>
            </w:pPr>
            <w:r>
              <w:rPr>
                <w:rFonts w:hint="eastAsia" w:ascii="宋体" w:hAnsi="宋体" w:eastAsia="宋体" w:cs="宋体"/>
                <w:i w:val="0"/>
                <w:caps w:val="0"/>
                <w:color w:val="auto"/>
                <w:spacing w:val="0"/>
                <w:sz w:val="24"/>
                <w:szCs w:val="24"/>
                <w:highlight w:val="none"/>
                <w:lang w:val="en-US" w:eastAsia="zh-CN"/>
              </w:rPr>
              <w:t>8</w:t>
            </w:r>
          </w:p>
        </w:tc>
        <w:tc>
          <w:tcPr>
            <w:tcW w:w="11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4" w:hRule="atLeast"/>
        </w:trPr>
        <w:tc>
          <w:tcPr>
            <w:tcW w:w="128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both"/>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市场秩序</w:t>
            </w:r>
          </w:p>
        </w:tc>
        <w:tc>
          <w:tcPr>
            <w:tcW w:w="47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left"/>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11"/>
                <w:sz w:val="24"/>
                <w:szCs w:val="24"/>
                <w:highlight w:val="none"/>
                <w:lang w:val="en-US" w:eastAsia="zh-CN"/>
              </w:rPr>
              <w:t>6</w:t>
            </w:r>
            <w:r>
              <w:rPr>
                <w:rFonts w:hint="eastAsia" w:ascii="宋体" w:hAnsi="宋体" w:eastAsia="宋体" w:cs="宋体"/>
                <w:i w:val="0"/>
                <w:caps w:val="0"/>
                <w:color w:val="auto"/>
                <w:spacing w:val="-11"/>
                <w:sz w:val="24"/>
                <w:szCs w:val="24"/>
                <w:highlight w:val="none"/>
              </w:rPr>
              <w:t>.部门联合“双随机、一公开”抽查占比（%）</w:t>
            </w:r>
          </w:p>
        </w:tc>
        <w:tc>
          <w:tcPr>
            <w:tcW w:w="16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eastAsia="宋体" w:cs="Calibri"/>
                <w:color w:val="auto"/>
                <w:sz w:val="28"/>
                <w:szCs w:val="28"/>
                <w:highlight w:val="none"/>
                <w:lang w:val="en-US" w:eastAsia="zh-CN"/>
              </w:rPr>
            </w:pPr>
            <w:r>
              <w:rPr>
                <w:rFonts w:hint="eastAsia" w:ascii="宋体" w:hAnsi="宋体" w:eastAsia="宋体" w:cs="宋体"/>
                <w:i w:val="0"/>
                <w:caps w:val="0"/>
                <w:color w:val="auto"/>
                <w:spacing w:val="0"/>
                <w:sz w:val="24"/>
                <w:szCs w:val="24"/>
                <w:highlight w:val="none"/>
                <w:lang w:val="en-US" w:eastAsia="zh-CN"/>
              </w:rPr>
              <w:t>25</w:t>
            </w:r>
          </w:p>
        </w:tc>
        <w:tc>
          <w:tcPr>
            <w:tcW w:w="11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4" w:hRule="atLeast"/>
        </w:trPr>
        <w:tc>
          <w:tcPr>
            <w:tcW w:w="128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78" w:lineRule="exact"/>
              <w:jc w:val="both"/>
              <w:textAlignment w:val="auto"/>
              <w:rPr>
                <w:rFonts w:hint="default" w:ascii="Times New Roman" w:hAnsi="Times New Roman" w:cs="Times New Roman"/>
                <w:i w:val="0"/>
                <w:caps w:val="0"/>
                <w:color w:val="auto"/>
                <w:spacing w:val="0"/>
                <w:sz w:val="20"/>
                <w:szCs w:val="20"/>
                <w:highlight w:val="none"/>
              </w:rPr>
            </w:pPr>
          </w:p>
        </w:tc>
        <w:tc>
          <w:tcPr>
            <w:tcW w:w="47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left"/>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lang w:val="en-US" w:eastAsia="zh-CN"/>
              </w:rPr>
              <w:t>7</w:t>
            </w:r>
            <w:r>
              <w:rPr>
                <w:rFonts w:hint="eastAsia" w:ascii="宋体" w:hAnsi="宋体" w:eastAsia="宋体" w:cs="宋体"/>
                <w:i w:val="0"/>
                <w:caps w:val="0"/>
                <w:color w:val="auto"/>
                <w:spacing w:val="0"/>
                <w:sz w:val="24"/>
                <w:szCs w:val="24"/>
                <w:highlight w:val="none"/>
              </w:rPr>
              <w:t>.信用风险分类抽查占比（%）</w:t>
            </w:r>
          </w:p>
        </w:tc>
        <w:tc>
          <w:tcPr>
            <w:tcW w:w="16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eastAsia="微软雅黑" w:cs="Calibri"/>
                <w:color w:val="auto"/>
                <w:sz w:val="28"/>
                <w:szCs w:val="28"/>
                <w:highlight w:val="none"/>
                <w:lang w:val="en-US" w:eastAsia="zh-CN"/>
              </w:rPr>
            </w:pPr>
            <w:r>
              <w:rPr>
                <w:rFonts w:hint="eastAsia" w:ascii="宋体" w:hAnsi="宋体" w:eastAsia="宋体" w:cs="宋体"/>
                <w:i w:val="0"/>
                <w:caps w:val="0"/>
                <w:color w:val="auto"/>
                <w:spacing w:val="0"/>
                <w:sz w:val="24"/>
                <w:szCs w:val="24"/>
                <w:highlight w:val="none"/>
                <w:lang w:val="en-US" w:eastAsia="zh-CN"/>
              </w:rPr>
              <w:t>25</w:t>
            </w:r>
          </w:p>
        </w:tc>
        <w:tc>
          <w:tcPr>
            <w:tcW w:w="11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4" w:hRule="atLeast"/>
        </w:trPr>
        <w:tc>
          <w:tcPr>
            <w:tcW w:w="128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78" w:lineRule="exact"/>
              <w:jc w:val="both"/>
              <w:textAlignment w:val="auto"/>
              <w:rPr>
                <w:rFonts w:hint="default" w:ascii="Times New Roman" w:hAnsi="Times New Roman" w:cs="Times New Roman"/>
                <w:i w:val="0"/>
                <w:caps w:val="0"/>
                <w:color w:val="auto"/>
                <w:spacing w:val="0"/>
                <w:sz w:val="20"/>
                <w:szCs w:val="20"/>
                <w:highlight w:val="none"/>
              </w:rPr>
            </w:pPr>
          </w:p>
        </w:tc>
        <w:tc>
          <w:tcPr>
            <w:tcW w:w="47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left"/>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lang w:val="en-US" w:eastAsia="zh-CN"/>
              </w:rPr>
              <w:t>8</w:t>
            </w:r>
            <w:r>
              <w:rPr>
                <w:rFonts w:hint="eastAsia" w:ascii="宋体" w:hAnsi="宋体" w:eastAsia="宋体" w:cs="宋体"/>
                <w:i w:val="0"/>
                <w:caps w:val="0"/>
                <w:color w:val="auto"/>
                <w:spacing w:val="0"/>
                <w:sz w:val="24"/>
                <w:szCs w:val="24"/>
                <w:highlight w:val="none"/>
              </w:rPr>
              <w:t>.公共服务质量满意度（分）</w:t>
            </w:r>
          </w:p>
        </w:tc>
        <w:tc>
          <w:tcPr>
            <w:tcW w:w="16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eastAsia" w:ascii="Calibri" w:hAnsi="Calibri" w:eastAsia="宋体" w:cs="Calibri"/>
                <w:color w:val="auto"/>
                <w:sz w:val="28"/>
                <w:szCs w:val="28"/>
                <w:highlight w:val="none"/>
                <w:lang w:val="en-US" w:eastAsia="zh-CN"/>
              </w:rPr>
            </w:pP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0</w:t>
            </w:r>
          </w:p>
        </w:tc>
        <w:tc>
          <w:tcPr>
            <w:tcW w:w="11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4" w:hRule="atLeast"/>
        </w:trPr>
        <w:tc>
          <w:tcPr>
            <w:tcW w:w="128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78" w:lineRule="exact"/>
              <w:jc w:val="both"/>
              <w:textAlignment w:val="auto"/>
              <w:rPr>
                <w:rFonts w:hint="default" w:ascii="Times New Roman" w:hAnsi="Times New Roman" w:cs="Times New Roman"/>
                <w:i w:val="0"/>
                <w:caps w:val="0"/>
                <w:color w:val="auto"/>
                <w:spacing w:val="0"/>
                <w:sz w:val="20"/>
                <w:szCs w:val="20"/>
                <w:highlight w:val="none"/>
              </w:rPr>
            </w:pPr>
          </w:p>
        </w:tc>
        <w:tc>
          <w:tcPr>
            <w:tcW w:w="47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left"/>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lang w:val="en-US" w:eastAsia="zh-CN"/>
              </w:rPr>
              <w:t>9</w:t>
            </w:r>
            <w:r>
              <w:rPr>
                <w:rFonts w:hint="eastAsia" w:ascii="宋体" w:hAnsi="宋体" w:eastAsia="宋体" w:cs="宋体"/>
                <w:i w:val="0"/>
                <w:caps w:val="0"/>
                <w:color w:val="auto"/>
                <w:spacing w:val="0"/>
                <w:sz w:val="24"/>
                <w:szCs w:val="24"/>
                <w:highlight w:val="none"/>
              </w:rPr>
              <w:t>.主导制修订国际标准（项）</w:t>
            </w:r>
          </w:p>
        </w:tc>
        <w:tc>
          <w:tcPr>
            <w:tcW w:w="16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eastAsia" w:ascii="Calibri" w:hAnsi="Calibri" w:eastAsia="微软雅黑" w:cs="Calibri"/>
                <w:color w:val="auto"/>
                <w:sz w:val="28"/>
                <w:szCs w:val="28"/>
                <w:highlight w:val="none"/>
                <w:lang w:eastAsia="zh-CN"/>
              </w:rPr>
            </w:pPr>
            <w:r>
              <w:rPr>
                <w:rFonts w:hint="eastAsia" w:ascii="宋体" w:hAnsi="宋体" w:eastAsia="宋体" w:cs="宋体"/>
                <w:i w:val="0"/>
                <w:caps w:val="0"/>
                <w:color w:val="auto"/>
                <w:spacing w:val="0"/>
                <w:sz w:val="24"/>
                <w:szCs w:val="24"/>
                <w:highlight w:val="none"/>
                <w:lang w:val="en-US" w:eastAsia="zh-CN"/>
              </w:rPr>
              <w:t>2</w:t>
            </w:r>
          </w:p>
        </w:tc>
        <w:tc>
          <w:tcPr>
            <w:tcW w:w="11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4" w:hRule="atLeast"/>
        </w:trPr>
        <w:tc>
          <w:tcPr>
            <w:tcW w:w="128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78" w:lineRule="exact"/>
              <w:jc w:val="both"/>
              <w:textAlignment w:val="auto"/>
              <w:rPr>
                <w:rFonts w:hint="default" w:ascii="Times New Roman" w:hAnsi="Times New Roman" w:cs="Times New Roman"/>
                <w:i w:val="0"/>
                <w:caps w:val="0"/>
                <w:color w:val="auto"/>
                <w:spacing w:val="0"/>
                <w:sz w:val="20"/>
                <w:szCs w:val="20"/>
                <w:highlight w:val="none"/>
              </w:rPr>
            </w:pPr>
          </w:p>
        </w:tc>
        <w:tc>
          <w:tcPr>
            <w:tcW w:w="47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left"/>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lang w:val="en-US" w:eastAsia="zh-CN"/>
              </w:rPr>
              <w:t>10</w:t>
            </w:r>
            <w:r>
              <w:rPr>
                <w:rFonts w:hint="eastAsia" w:ascii="宋体" w:hAnsi="宋体" w:eastAsia="宋体" w:cs="宋体"/>
                <w:i w:val="0"/>
                <w:caps w:val="0"/>
                <w:color w:val="auto"/>
                <w:spacing w:val="0"/>
                <w:sz w:val="24"/>
                <w:szCs w:val="24"/>
                <w:highlight w:val="none"/>
              </w:rPr>
              <w:t>.主导制修订国家标准（项）</w:t>
            </w:r>
          </w:p>
        </w:tc>
        <w:tc>
          <w:tcPr>
            <w:tcW w:w="16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eastAsia="微软雅黑" w:cs="Calibri"/>
                <w:color w:val="auto"/>
                <w:sz w:val="28"/>
                <w:szCs w:val="28"/>
                <w:highlight w:val="none"/>
                <w:lang w:val="en-US" w:eastAsia="zh-CN"/>
              </w:rPr>
            </w:pPr>
            <w:r>
              <w:rPr>
                <w:rFonts w:hint="eastAsia" w:ascii="宋体" w:hAnsi="宋体" w:eastAsia="宋体" w:cs="宋体"/>
                <w:i w:val="0"/>
                <w:caps w:val="0"/>
                <w:color w:val="auto"/>
                <w:spacing w:val="0"/>
                <w:sz w:val="24"/>
                <w:szCs w:val="24"/>
                <w:highlight w:val="none"/>
                <w:lang w:val="en-US" w:eastAsia="zh-CN"/>
              </w:rPr>
              <w:t>50</w:t>
            </w:r>
          </w:p>
        </w:tc>
        <w:tc>
          <w:tcPr>
            <w:tcW w:w="11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4" w:hRule="atLeast"/>
        </w:trPr>
        <w:tc>
          <w:tcPr>
            <w:tcW w:w="128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78" w:lineRule="exact"/>
              <w:jc w:val="both"/>
              <w:textAlignment w:val="auto"/>
              <w:rPr>
                <w:rFonts w:hint="default" w:ascii="Times New Roman" w:hAnsi="Times New Roman" w:cs="Times New Roman"/>
                <w:i w:val="0"/>
                <w:caps w:val="0"/>
                <w:color w:val="auto"/>
                <w:spacing w:val="0"/>
                <w:sz w:val="20"/>
                <w:szCs w:val="20"/>
                <w:highlight w:val="none"/>
              </w:rPr>
            </w:pPr>
          </w:p>
        </w:tc>
        <w:tc>
          <w:tcPr>
            <w:tcW w:w="47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left"/>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1</w:t>
            </w:r>
            <w:r>
              <w:rPr>
                <w:rFonts w:hint="eastAsia" w:ascii="宋体" w:hAnsi="宋体" w:eastAsia="宋体" w:cs="宋体"/>
                <w:i w:val="0"/>
                <w:caps w:val="0"/>
                <w:color w:val="auto"/>
                <w:spacing w:val="0"/>
                <w:sz w:val="24"/>
                <w:szCs w:val="24"/>
                <w:highlight w:val="none"/>
                <w:lang w:val="en-US" w:eastAsia="zh-CN"/>
              </w:rPr>
              <w:t>1</w:t>
            </w:r>
            <w:r>
              <w:rPr>
                <w:rFonts w:hint="eastAsia" w:ascii="宋体" w:hAnsi="宋体" w:eastAsia="宋体" w:cs="宋体"/>
                <w:i w:val="0"/>
                <w:caps w:val="0"/>
                <w:color w:val="auto"/>
                <w:spacing w:val="0"/>
                <w:sz w:val="24"/>
                <w:szCs w:val="24"/>
                <w:highlight w:val="none"/>
              </w:rPr>
              <w:t>.社会公用计量标准（项）</w:t>
            </w:r>
          </w:p>
        </w:tc>
        <w:tc>
          <w:tcPr>
            <w:tcW w:w="16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eastAsia="微软雅黑" w:cs="Calibri"/>
                <w:color w:val="auto"/>
                <w:sz w:val="28"/>
                <w:szCs w:val="28"/>
                <w:highlight w:val="none"/>
                <w:lang w:val="en-US" w:eastAsia="zh-CN"/>
              </w:rPr>
            </w:pPr>
            <w:r>
              <w:rPr>
                <w:rFonts w:hint="eastAsia" w:ascii="宋体" w:hAnsi="宋体" w:eastAsia="宋体" w:cs="宋体"/>
                <w:i w:val="0"/>
                <w:caps w:val="0"/>
                <w:color w:val="auto"/>
                <w:spacing w:val="0"/>
                <w:sz w:val="24"/>
                <w:szCs w:val="24"/>
                <w:highlight w:val="none"/>
                <w:lang w:val="en-US" w:eastAsia="zh-CN"/>
              </w:rPr>
              <w:t>120</w:t>
            </w:r>
          </w:p>
        </w:tc>
        <w:tc>
          <w:tcPr>
            <w:tcW w:w="11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4" w:hRule="atLeast"/>
        </w:trPr>
        <w:tc>
          <w:tcPr>
            <w:tcW w:w="128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市场安全</w:t>
            </w:r>
          </w:p>
        </w:tc>
        <w:tc>
          <w:tcPr>
            <w:tcW w:w="47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left"/>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1</w:t>
            </w:r>
            <w:r>
              <w:rPr>
                <w:rFonts w:hint="eastAsia" w:ascii="宋体" w:hAnsi="宋体" w:eastAsia="宋体" w:cs="宋体"/>
                <w:i w:val="0"/>
                <w:caps w:val="0"/>
                <w:color w:val="auto"/>
                <w:spacing w:val="0"/>
                <w:sz w:val="24"/>
                <w:szCs w:val="24"/>
                <w:highlight w:val="none"/>
                <w:lang w:val="en-US" w:eastAsia="zh-CN"/>
              </w:rPr>
              <w:t>2</w:t>
            </w:r>
            <w:r>
              <w:rPr>
                <w:rFonts w:hint="eastAsia" w:ascii="宋体" w:hAnsi="宋体" w:eastAsia="宋体" w:cs="宋体"/>
                <w:i w:val="0"/>
                <w:caps w:val="0"/>
                <w:color w:val="auto"/>
                <w:spacing w:val="0"/>
                <w:sz w:val="24"/>
                <w:szCs w:val="24"/>
                <w:highlight w:val="none"/>
              </w:rPr>
              <w:t>.制造业产品质量合格率（%）</w:t>
            </w:r>
          </w:p>
        </w:tc>
        <w:tc>
          <w:tcPr>
            <w:tcW w:w="16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≥94</w:t>
            </w:r>
          </w:p>
        </w:tc>
        <w:tc>
          <w:tcPr>
            <w:tcW w:w="11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4" w:hRule="atLeast"/>
        </w:trPr>
        <w:tc>
          <w:tcPr>
            <w:tcW w:w="128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78" w:lineRule="exact"/>
              <w:jc w:val="both"/>
              <w:textAlignment w:val="auto"/>
              <w:rPr>
                <w:rFonts w:hint="default" w:ascii="Times New Roman" w:hAnsi="Times New Roman" w:cs="Times New Roman"/>
                <w:i w:val="0"/>
                <w:caps w:val="0"/>
                <w:color w:val="auto"/>
                <w:spacing w:val="0"/>
                <w:sz w:val="20"/>
                <w:szCs w:val="20"/>
                <w:highlight w:val="none"/>
              </w:rPr>
            </w:pPr>
          </w:p>
        </w:tc>
        <w:tc>
          <w:tcPr>
            <w:tcW w:w="47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left"/>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1</w:t>
            </w:r>
            <w:r>
              <w:rPr>
                <w:rFonts w:hint="eastAsia" w:ascii="宋体" w:hAnsi="宋体" w:eastAsia="宋体" w:cs="宋体"/>
                <w:i w:val="0"/>
                <w:caps w:val="0"/>
                <w:color w:val="auto"/>
                <w:spacing w:val="0"/>
                <w:sz w:val="24"/>
                <w:szCs w:val="24"/>
                <w:highlight w:val="none"/>
                <w:lang w:val="en-US" w:eastAsia="zh-CN"/>
              </w:rPr>
              <w:t>3</w:t>
            </w:r>
            <w:r>
              <w:rPr>
                <w:rFonts w:hint="eastAsia" w:ascii="宋体" w:hAnsi="宋体" w:eastAsia="宋体" w:cs="宋体"/>
                <w:i w:val="0"/>
                <w:caps w:val="0"/>
                <w:color w:val="auto"/>
                <w:spacing w:val="0"/>
                <w:sz w:val="24"/>
                <w:szCs w:val="24"/>
                <w:highlight w:val="none"/>
              </w:rPr>
              <w:t>.消费品合格率（%）</w:t>
            </w:r>
          </w:p>
        </w:tc>
        <w:tc>
          <w:tcPr>
            <w:tcW w:w="16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≥92</w:t>
            </w:r>
          </w:p>
        </w:tc>
        <w:tc>
          <w:tcPr>
            <w:tcW w:w="11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4" w:hRule="atLeast"/>
        </w:trPr>
        <w:tc>
          <w:tcPr>
            <w:tcW w:w="128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78" w:lineRule="exact"/>
              <w:jc w:val="both"/>
              <w:textAlignment w:val="auto"/>
              <w:rPr>
                <w:rFonts w:hint="default" w:ascii="Times New Roman" w:hAnsi="Times New Roman" w:cs="Times New Roman"/>
                <w:i w:val="0"/>
                <w:caps w:val="0"/>
                <w:color w:val="auto"/>
                <w:spacing w:val="0"/>
                <w:sz w:val="20"/>
                <w:szCs w:val="20"/>
                <w:highlight w:val="none"/>
              </w:rPr>
            </w:pPr>
          </w:p>
        </w:tc>
        <w:tc>
          <w:tcPr>
            <w:tcW w:w="47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left"/>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1</w:t>
            </w:r>
            <w:r>
              <w:rPr>
                <w:rFonts w:hint="eastAsia" w:ascii="宋体" w:hAnsi="宋体" w:eastAsia="宋体" w:cs="宋体"/>
                <w:i w:val="0"/>
                <w:caps w:val="0"/>
                <w:color w:val="auto"/>
                <w:spacing w:val="0"/>
                <w:sz w:val="24"/>
                <w:szCs w:val="24"/>
                <w:highlight w:val="none"/>
                <w:lang w:val="en-US" w:eastAsia="zh-CN"/>
              </w:rPr>
              <w:t>4</w:t>
            </w:r>
            <w:r>
              <w:rPr>
                <w:rFonts w:hint="eastAsia" w:ascii="宋体" w:hAnsi="宋体" w:eastAsia="宋体" w:cs="宋体"/>
                <w:i w:val="0"/>
                <w:caps w:val="0"/>
                <w:color w:val="auto"/>
                <w:spacing w:val="0"/>
                <w:sz w:val="24"/>
                <w:szCs w:val="24"/>
                <w:highlight w:val="none"/>
              </w:rPr>
              <w:t>.食品</w:t>
            </w:r>
            <w:r>
              <w:rPr>
                <w:rFonts w:hint="eastAsia" w:ascii="宋体" w:hAnsi="宋体" w:eastAsia="宋体" w:cs="宋体"/>
                <w:i w:val="0"/>
                <w:caps w:val="0"/>
                <w:color w:val="auto"/>
                <w:spacing w:val="0"/>
                <w:sz w:val="24"/>
                <w:szCs w:val="24"/>
                <w:highlight w:val="none"/>
                <w:lang w:eastAsia="zh-CN"/>
              </w:rPr>
              <w:t>（食用农产品）</w:t>
            </w:r>
            <w:r>
              <w:rPr>
                <w:rFonts w:hint="eastAsia" w:ascii="宋体" w:hAnsi="宋体" w:eastAsia="宋体" w:cs="宋体"/>
                <w:i w:val="0"/>
                <w:caps w:val="0"/>
                <w:color w:val="auto"/>
                <w:spacing w:val="0"/>
                <w:sz w:val="24"/>
                <w:szCs w:val="24"/>
                <w:highlight w:val="none"/>
              </w:rPr>
              <w:t>检验量（批次/千人）</w:t>
            </w:r>
          </w:p>
        </w:tc>
        <w:tc>
          <w:tcPr>
            <w:tcW w:w="16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eastAsiaTheme="minorEastAsia"/>
                <w:color w:val="auto"/>
                <w:sz w:val="28"/>
                <w:szCs w:val="28"/>
                <w:highlight w:val="none"/>
                <w:lang w:val="en-US" w:eastAsia="zh-CN"/>
              </w:rPr>
            </w:pPr>
            <w:r>
              <w:rPr>
                <w:rFonts w:hint="eastAsia" w:ascii="宋体" w:hAnsi="宋体" w:eastAsia="宋体" w:cs="宋体"/>
                <w:i w:val="0"/>
                <w:caps w:val="0"/>
                <w:color w:val="auto"/>
                <w:spacing w:val="0"/>
                <w:sz w:val="24"/>
                <w:szCs w:val="24"/>
                <w:highlight w:val="none"/>
                <w:lang w:val="en-US" w:eastAsia="zh-CN"/>
              </w:rPr>
              <w:t>4.1</w:t>
            </w:r>
          </w:p>
        </w:tc>
        <w:tc>
          <w:tcPr>
            <w:tcW w:w="11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3" w:hRule="atLeast"/>
        </w:trPr>
        <w:tc>
          <w:tcPr>
            <w:tcW w:w="128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78" w:lineRule="exact"/>
              <w:jc w:val="both"/>
              <w:textAlignment w:val="auto"/>
              <w:rPr>
                <w:rFonts w:hint="default" w:ascii="Times New Roman" w:hAnsi="Times New Roman" w:cs="Times New Roman"/>
                <w:i w:val="0"/>
                <w:caps w:val="0"/>
                <w:color w:val="auto"/>
                <w:spacing w:val="0"/>
                <w:sz w:val="20"/>
                <w:szCs w:val="20"/>
                <w:highlight w:val="none"/>
              </w:rPr>
            </w:pPr>
          </w:p>
        </w:tc>
        <w:tc>
          <w:tcPr>
            <w:tcW w:w="47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left"/>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1</w:t>
            </w:r>
            <w:r>
              <w:rPr>
                <w:rFonts w:hint="eastAsia" w:ascii="宋体" w:hAnsi="宋体" w:eastAsia="宋体" w:cs="宋体"/>
                <w:i w:val="0"/>
                <w:caps w:val="0"/>
                <w:color w:val="auto"/>
                <w:spacing w:val="0"/>
                <w:sz w:val="24"/>
                <w:szCs w:val="24"/>
                <w:highlight w:val="none"/>
                <w:lang w:val="en-US" w:eastAsia="zh-CN"/>
              </w:rPr>
              <w:t>5</w:t>
            </w:r>
            <w:r>
              <w:rPr>
                <w:rFonts w:hint="eastAsia" w:ascii="宋体" w:hAnsi="宋体" w:eastAsia="宋体" w:cs="宋体"/>
                <w:i w:val="0"/>
                <w:caps w:val="0"/>
                <w:color w:val="auto"/>
                <w:spacing w:val="0"/>
                <w:sz w:val="24"/>
                <w:szCs w:val="24"/>
                <w:highlight w:val="none"/>
              </w:rPr>
              <w:t>.万台特种设备死亡率（%）</w:t>
            </w:r>
          </w:p>
        </w:tc>
        <w:tc>
          <w:tcPr>
            <w:tcW w:w="16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≤0.06</w:t>
            </w:r>
          </w:p>
        </w:tc>
        <w:tc>
          <w:tcPr>
            <w:tcW w:w="11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4" w:hRule="atLeast"/>
        </w:trPr>
        <w:tc>
          <w:tcPr>
            <w:tcW w:w="128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78" w:lineRule="exact"/>
              <w:jc w:val="both"/>
              <w:textAlignment w:val="auto"/>
              <w:rPr>
                <w:rFonts w:hint="default" w:ascii="Times New Roman" w:hAnsi="Times New Roman" w:cs="Times New Roman"/>
                <w:i w:val="0"/>
                <w:caps w:val="0"/>
                <w:color w:val="auto"/>
                <w:spacing w:val="0"/>
                <w:sz w:val="20"/>
                <w:szCs w:val="20"/>
                <w:highlight w:val="none"/>
              </w:rPr>
            </w:pPr>
          </w:p>
        </w:tc>
        <w:tc>
          <w:tcPr>
            <w:tcW w:w="47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left"/>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1</w:t>
            </w:r>
            <w:r>
              <w:rPr>
                <w:rFonts w:hint="eastAsia" w:ascii="宋体" w:hAnsi="宋体" w:eastAsia="宋体" w:cs="宋体"/>
                <w:i w:val="0"/>
                <w:caps w:val="0"/>
                <w:color w:val="auto"/>
                <w:spacing w:val="0"/>
                <w:sz w:val="24"/>
                <w:szCs w:val="24"/>
                <w:highlight w:val="none"/>
                <w:lang w:val="en-US" w:eastAsia="zh-CN"/>
              </w:rPr>
              <w:t>6</w:t>
            </w:r>
            <w:r>
              <w:rPr>
                <w:rFonts w:hint="eastAsia" w:ascii="宋体" w:hAnsi="宋体" w:eastAsia="宋体" w:cs="宋体"/>
                <w:i w:val="0"/>
                <w:caps w:val="0"/>
                <w:color w:val="auto"/>
                <w:spacing w:val="0"/>
                <w:sz w:val="24"/>
                <w:szCs w:val="24"/>
                <w:highlight w:val="none"/>
              </w:rPr>
              <w:t>.重点监控目录产品监督抽查覆盖率（%）</w:t>
            </w:r>
          </w:p>
        </w:tc>
        <w:tc>
          <w:tcPr>
            <w:tcW w:w="16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100</w:t>
            </w:r>
          </w:p>
        </w:tc>
        <w:tc>
          <w:tcPr>
            <w:tcW w:w="11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4" w:hRule="atLeast"/>
        </w:trPr>
        <w:tc>
          <w:tcPr>
            <w:tcW w:w="128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消费环境</w:t>
            </w:r>
          </w:p>
        </w:tc>
        <w:tc>
          <w:tcPr>
            <w:tcW w:w="47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left"/>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1</w:t>
            </w:r>
            <w:r>
              <w:rPr>
                <w:rFonts w:hint="eastAsia" w:ascii="宋体" w:hAnsi="宋体" w:eastAsia="宋体" w:cs="宋体"/>
                <w:i w:val="0"/>
                <w:caps w:val="0"/>
                <w:color w:val="auto"/>
                <w:spacing w:val="0"/>
                <w:sz w:val="24"/>
                <w:szCs w:val="24"/>
                <w:highlight w:val="none"/>
                <w:lang w:val="en-US" w:eastAsia="zh-CN"/>
              </w:rPr>
              <w:t>7</w:t>
            </w:r>
            <w:r>
              <w:rPr>
                <w:rFonts w:hint="eastAsia" w:ascii="宋体" w:hAnsi="宋体" w:eastAsia="宋体" w:cs="宋体"/>
                <w:i w:val="0"/>
                <w:caps w:val="0"/>
                <w:color w:val="auto"/>
                <w:spacing w:val="0"/>
                <w:sz w:val="24"/>
                <w:szCs w:val="24"/>
                <w:highlight w:val="none"/>
              </w:rPr>
              <w:t>.消费投诉按期办结率（%）</w:t>
            </w:r>
          </w:p>
        </w:tc>
        <w:tc>
          <w:tcPr>
            <w:tcW w:w="16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99.80</w:t>
            </w:r>
          </w:p>
        </w:tc>
        <w:tc>
          <w:tcPr>
            <w:tcW w:w="11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4" w:hRule="atLeast"/>
        </w:trPr>
        <w:tc>
          <w:tcPr>
            <w:tcW w:w="128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78" w:lineRule="exact"/>
              <w:jc w:val="both"/>
              <w:textAlignment w:val="auto"/>
              <w:rPr>
                <w:rFonts w:hint="default" w:ascii="Times New Roman" w:hAnsi="Times New Roman" w:cs="Times New Roman"/>
                <w:i w:val="0"/>
                <w:caps w:val="0"/>
                <w:color w:val="auto"/>
                <w:spacing w:val="0"/>
                <w:sz w:val="20"/>
                <w:szCs w:val="20"/>
                <w:highlight w:val="none"/>
              </w:rPr>
            </w:pPr>
          </w:p>
        </w:tc>
        <w:tc>
          <w:tcPr>
            <w:tcW w:w="47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left"/>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lang w:val="en-US" w:eastAsia="zh-CN"/>
              </w:rPr>
              <w:t>18</w:t>
            </w:r>
            <w:r>
              <w:rPr>
                <w:rFonts w:hint="eastAsia" w:ascii="宋体" w:hAnsi="宋体" w:eastAsia="宋体" w:cs="宋体"/>
                <w:i w:val="0"/>
                <w:caps w:val="0"/>
                <w:color w:val="auto"/>
                <w:spacing w:val="0"/>
                <w:sz w:val="24"/>
                <w:szCs w:val="24"/>
                <w:highlight w:val="none"/>
              </w:rPr>
              <w:t>.放心满意消费创建进乡村覆盖率（%）</w:t>
            </w:r>
          </w:p>
        </w:tc>
        <w:tc>
          <w:tcPr>
            <w:tcW w:w="16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95</w:t>
            </w:r>
          </w:p>
        </w:tc>
        <w:tc>
          <w:tcPr>
            <w:tcW w:w="11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8"/>
                <w:szCs w:val="28"/>
                <w:highlight w:val="none"/>
              </w:rPr>
            </w:pPr>
            <w:r>
              <w:rPr>
                <w:rFonts w:hint="eastAsia" w:ascii="宋体" w:hAnsi="宋体" w:eastAsia="宋体" w:cs="宋体"/>
                <w:i w:val="0"/>
                <w:caps w:val="0"/>
                <w:color w:val="auto"/>
                <w:spacing w:val="0"/>
                <w:sz w:val="24"/>
                <w:szCs w:val="24"/>
                <w:highlight w:val="none"/>
              </w:rPr>
              <w:t>预期性</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6"/>
          <w:szCs w:val="36"/>
          <w:highlight w:val="none"/>
        </w:rPr>
        <w:t>第</w:t>
      </w:r>
      <w:r>
        <w:rPr>
          <w:rFonts w:hint="eastAsia" w:ascii="黑体" w:hAnsi="黑体" w:eastAsia="黑体" w:cs="黑体"/>
          <w:color w:val="auto"/>
          <w:sz w:val="36"/>
          <w:szCs w:val="36"/>
          <w:highlight w:val="none"/>
          <w:lang w:eastAsia="zh-CN"/>
        </w:rPr>
        <w:t>三</w:t>
      </w:r>
      <w:r>
        <w:rPr>
          <w:rFonts w:hint="eastAsia" w:ascii="黑体" w:hAnsi="黑体" w:eastAsia="黑体" w:cs="黑体"/>
          <w:color w:val="auto"/>
          <w:sz w:val="36"/>
          <w:szCs w:val="36"/>
          <w:highlight w:val="none"/>
        </w:rPr>
        <w:t>章</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rPr>
        <w:t>创优市场准入环境</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rPr>
        <w:t>激发市场主体活力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聚焦创新创业的堵点痛点，加强政策集成和制度创新，进一步深化市场准入制度创新，加快打造市场化法治化国际化营商环境，持续释放社会创造潜力、激发企业活力。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深化商事</w:t>
      </w:r>
      <w:r>
        <w:rPr>
          <w:rFonts w:hint="eastAsia" w:ascii="黑体" w:hAnsi="黑体" w:eastAsia="黑体" w:cs="黑体"/>
          <w:color w:val="auto"/>
          <w:sz w:val="32"/>
          <w:szCs w:val="32"/>
          <w:highlight w:val="none"/>
          <w:lang w:eastAsia="zh-CN"/>
        </w:rPr>
        <w:t>制度</w:t>
      </w:r>
      <w:r>
        <w:rPr>
          <w:rFonts w:hint="eastAsia" w:ascii="黑体" w:hAnsi="黑体" w:eastAsia="黑体" w:cs="黑体"/>
          <w:color w:val="auto"/>
          <w:sz w:val="32"/>
          <w:szCs w:val="32"/>
          <w:highlight w:val="none"/>
        </w:rPr>
        <w:t>改革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按照省局要求贯彻</w:t>
      </w:r>
      <w:r>
        <w:rPr>
          <w:rFonts w:hint="eastAsia" w:ascii="仿宋_GB2312" w:hAnsi="仿宋_GB2312" w:eastAsia="仿宋_GB2312" w:cs="仿宋_GB2312"/>
          <w:color w:val="auto"/>
          <w:sz w:val="32"/>
          <w:szCs w:val="32"/>
          <w:highlight w:val="none"/>
        </w:rPr>
        <w:t>实施名称申报“企业承诺+事中事后监管”，允许新兴行业企业使用反映新业态特征的企业名称。进一步放宽住所（经营场所）登记限制。在全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范围有序推开商事登记“确认制”改革试点，</w:t>
      </w:r>
      <w:r>
        <w:rPr>
          <w:rFonts w:hint="eastAsia" w:ascii="仿宋_GB2312" w:hAnsi="Calibri" w:eastAsia="仿宋_GB2312" w:cs="仿宋_GB2312"/>
          <w:i w:val="0"/>
          <w:caps w:val="0"/>
          <w:color w:val="auto"/>
          <w:spacing w:val="0"/>
          <w:kern w:val="0"/>
          <w:sz w:val="32"/>
          <w:szCs w:val="32"/>
          <w:highlight w:val="none"/>
          <w:shd w:val="clear" w:fill="FFFFFF"/>
          <w:lang w:val="en-US" w:eastAsia="zh-CN" w:bidi="ar"/>
        </w:rPr>
        <w:t>推动“非禁即入”普遍落实。</w:t>
      </w:r>
      <w:r>
        <w:rPr>
          <w:rFonts w:hint="eastAsia" w:ascii="仿宋_GB2312" w:hAnsi="仿宋_GB2312" w:eastAsia="仿宋_GB2312" w:cs="仿宋_GB2312"/>
          <w:color w:val="auto"/>
          <w:sz w:val="32"/>
          <w:szCs w:val="32"/>
          <w:highlight w:val="none"/>
        </w:rPr>
        <w:t>落实外商投资准入前国民待遇加负面清单管理制度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探索建立部门协同推进“僵尸企业”强制退出机制，进一步提高市场退出的效率与安全。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b/>
          <w:bCs/>
          <w:color w:val="auto"/>
          <w:sz w:val="32"/>
          <w:szCs w:val="32"/>
          <w:highlight w:val="none"/>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深化涉企经营许可制度改革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中央层面和省级层面统一部署，建立健全涉企经营许可事项清单管理制度，清单以外事项一律不得作为限制企业经营的依据，推进“证照分离”改革区域全覆盖。进一步取消或下放工业产品生产许可事权，推行产品系族管理。着力推进强制性产品认证制度，简化出口转内销产品认证程序，推行外贸企业自我声明承诺等制度。合理放宽许可审批要求，推进“证照合一”改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b/>
          <w:bCs/>
          <w:color w:val="auto"/>
          <w:sz w:val="32"/>
          <w:szCs w:val="32"/>
          <w:highlight w:val="none"/>
        </w:rPr>
      </w:pPr>
      <w:r>
        <w:rPr>
          <w:rFonts w:hint="eastAsia" w:ascii="黑体" w:hAnsi="黑体" w:eastAsia="黑体" w:cs="黑体"/>
          <w:color w:val="auto"/>
          <w:sz w:val="32"/>
          <w:szCs w:val="32"/>
          <w:highlight w:val="none"/>
        </w:rPr>
        <w:t>三</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rPr>
        <w:t>优化提高行政服务效能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大力推进企业开办“六个一”体系建设，巩固、提升“全程网办、一网通办、一日办结”成果。通过直接取消、个人承诺、部门核查、信息比对等方式大幅压减企业开办的各类证明材料。</w:t>
      </w:r>
      <w:r>
        <w:rPr>
          <w:rFonts w:hint="eastAsia" w:ascii="仿宋_GB2312" w:hAnsi="仿宋_GB2312" w:eastAsia="仿宋_GB2312" w:cs="仿宋_GB2312"/>
          <w:color w:val="auto"/>
          <w:sz w:val="32"/>
          <w:szCs w:val="32"/>
          <w:highlight w:val="none"/>
          <w:lang w:eastAsia="zh-CN"/>
        </w:rPr>
        <w:t>按照省局部署，</w:t>
      </w:r>
      <w:r>
        <w:rPr>
          <w:rFonts w:hint="eastAsia" w:ascii="仿宋_GB2312" w:hAnsi="仿宋_GB2312" w:eastAsia="仿宋_GB2312" w:cs="仿宋_GB2312"/>
          <w:color w:val="auto"/>
          <w:sz w:val="32"/>
          <w:szCs w:val="32"/>
          <w:highlight w:val="none"/>
        </w:rPr>
        <w:t>推动涉企高频事项“跨省通办”，以长三角地区为先导区，推进电子营业执照跨省互认和登记许可事项异地办理、异地取证，切实解决群众来回跑腿、反复提交各种证明等问题。探索登记许可“智能审批”，提升企业名称自主申报系统核名智能化水平，推行住所在线核验，加快实现人工审批向智能审批转变。围绕企业全生命周期推行“一件事”改革，以群众视角整合再造审批流程，完善“一站式”准入服务。梳理各类强制登报公告事项，研究推动予以取消或调整为网上免费公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z w:val="32"/>
          <w:szCs w:val="32"/>
          <w:highlight w:val="none"/>
        </w:rPr>
      </w:pPr>
    </w:p>
    <w:p>
      <w:pPr>
        <w:pStyle w:val="2"/>
        <w:keepNext w:val="0"/>
        <w:keepLines w:val="0"/>
        <w:pageBreakBefore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highlight w:val="none"/>
        </w:rPr>
      </w:pPr>
    </w:p>
    <w:p>
      <w:pPr>
        <w:pStyle w:val="2"/>
        <w:keepNext w:val="0"/>
        <w:keepLines w:val="0"/>
        <w:pageBreakBefore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highlight w:val="none"/>
        </w:rPr>
      </w:pPr>
    </w:p>
    <w:p>
      <w:pPr>
        <w:pStyle w:val="2"/>
        <w:keepNext w:val="0"/>
        <w:keepLines w:val="0"/>
        <w:pageBreakBefore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highlight w:val="none"/>
        </w:rPr>
      </w:pPr>
    </w:p>
    <w:p>
      <w:pPr>
        <w:pStyle w:val="2"/>
        <w:keepNext w:val="0"/>
        <w:keepLines w:val="0"/>
        <w:pageBreakBefore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spacing w:line="578" w:lineRule="exact"/>
        <w:textAlignment w:val="auto"/>
        <w:rPr>
          <w:rFonts w:hint="eastAsia"/>
          <w:color w:val="auto"/>
          <w:highlight w:val="none"/>
        </w:rPr>
      </w:pPr>
    </w:p>
    <w:p>
      <w:pPr>
        <w:keepNext w:val="0"/>
        <w:keepLines w:val="0"/>
        <w:pageBreakBefore w:val="0"/>
        <w:numPr>
          <w:ilvl w:val="0"/>
          <w:numId w:val="0"/>
        </w:numPr>
        <w:kinsoku/>
        <w:wordWrap/>
        <w:overflowPunct/>
        <w:topLinePunct w:val="0"/>
        <w:autoSpaceDE/>
        <w:autoSpaceDN/>
        <w:bidi w:val="0"/>
        <w:spacing w:line="578" w:lineRule="exact"/>
        <w:jc w:val="center"/>
        <w:textAlignment w:val="auto"/>
        <w:rPr>
          <w:rFonts w:hint="eastAsia" w:ascii="黑体" w:hAnsi="黑体" w:eastAsia="黑体" w:cs="黑体"/>
          <w:color w:val="auto"/>
          <w:sz w:val="36"/>
          <w:szCs w:val="36"/>
          <w:highlight w:val="none"/>
          <w:lang w:val="en-US" w:eastAsia="zh-CN"/>
        </w:rPr>
      </w:pPr>
    </w:p>
    <w:p>
      <w:pPr>
        <w:keepNext w:val="0"/>
        <w:keepLines w:val="0"/>
        <w:pageBreakBefore w:val="0"/>
        <w:numPr>
          <w:ilvl w:val="0"/>
          <w:numId w:val="0"/>
        </w:numPr>
        <w:kinsoku/>
        <w:wordWrap/>
        <w:overflowPunct/>
        <w:topLinePunct w:val="0"/>
        <w:autoSpaceDE/>
        <w:autoSpaceDN/>
        <w:bidi w:val="0"/>
        <w:spacing w:line="578" w:lineRule="exact"/>
        <w:jc w:val="center"/>
        <w:textAlignment w:val="auto"/>
        <w:rPr>
          <w:rFonts w:hint="eastAsia" w:ascii="黑体" w:hAnsi="黑体" w:eastAsia="黑体" w:cs="黑体"/>
          <w:color w:val="auto"/>
          <w:sz w:val="36"/>
          <w:szCs w:val="36"/>
          <w:highlight w:val="none"/>
          <w:lang w:val="en-US" w:eastAsia="zh-CN"/>
        </w:rPr>
      </w:pPr>
    </w:p>
    <w:p>
      <w:pPr>
        <w:keepNext w:val="0"/>
        <w:keepLines w:val="0"/>
        <w:pageBreakBefore w:val="0"/>
        <w:numPr>
          <w:ilvl w:val="0"/>
          <w:numId w:val="0"/>
        </w:numPr>
        <w:kinsoku/>
        <w:wordWrap/>
        <w:overflowPunct/>
        <w:topLinePunct w:val="0"/>
        <w:autoSpaceDE/>
        <w:autoSpaceDN/>
        <w:bidi w:val="0"/>
        <w:spacing w:line="578" w:lineRule="exact"/>
        <w:jc w:val="center"/>
        <w:textAlignment w:val="auto"/>
        <w:rPr>
          <w:rFonts w:hint="eastAsia" w:ascii="黑体" w:hAnsi="黑体" w:eastAsia="黑体" w:cs="黑体"/>
          <w:color w:val="auto"/>
          <w:sz w:val="36"/>
          <w:szCs w:val="36"/>
          <w:highlight w:val="none"/>
          <w:lang w:val="en-US" w:eastAsia="zh-CN"/>
        </w:rPr>
      </w:pPr>
    </w:p>
    <w:p>
      <w:pPr>
        <w:keepNext w:val="0"/>
        <w:keepLines w:val="0"/>
        <w:pageBreakBefore w:val="0"/>
        <w:numPr>
          <w:ilvl w:val="0"/>
          <w:numId w:val="0"/>
        </w:numPr>
        <w:kinsoku/>
        <w:wordWrap/>
        <w:overflowPunct/>
        <w:topLinePunct w:val="0"/>
        <w:autoSpaceDE/>
        <w:autoSpaceDN/>
        <w:bidi w:val="0"/>
        <w:spacing w:line="578" w:lineRule="exact"/>
        <w:jc w:val="center"/>
        <w:textAlignment w:val="auto"/>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lang w:val="en-US" w:eastAsia="zh-CN"/>
        </w:rPr>
        <w:t xml:space="preserve">第四章  </w:t>
      </w:r>
      <w:r>
        <w:rPr>
          <w:rFonts w:hint="eastAsia" w:ascii="黑体" w:hAnsi="黑体" w:eastAsia="黑体" w:cs="黑体"/>
          <w:color w:val="auto"/>
          <w:sz w:val="36"/>
          <w:szCs w:val="36"/>
          <w:highlight w:val="none"/>
        </w:rPr>
        <w:t>创优市场竞争环境</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rPr>
        <w:t>建设高标准市场体系</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围绕建设统一开放、竞争有序的市场体系，以竞争中立为核心原则，以实现竞争、增进竞争和规范竞争为基本目标。建立健全竞争政策实施机制，强化重点领域监管，切实维护公平竞争，建设高标准市场体系。</w:t>
      </w:r>
    </w:p>
    <w:p>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落实公平竞争审查制度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8" w:lineRule="exact"/>
        <w:ind w:left="0" w:right="0" w:firstLine="642"/>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完善公平竞争审查制度，建成全面覆盖、规则完备、权责明确、运行高效、监督有力的公平竞争审查制度体系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进一步明确</w:t>
      </w:r>
      <w:r>
        <w:rPr>
          <w:rFonts w:hint="eastAsia" w:ascii="仿宋_GB2312" w:hAnsi="仿宋_GB2312" w:eastAsia="仿宋_GB2312" w:cs="仿宋_GB2312"/>
          <w:color w:val="auto"/>
          <w:sz w:val="32"/>
          <w:szCs w:val="32"/>
          <w:highlight w:val="none"/>
          <w:lang w:eastAsia="zh-CN"/>
        </w:rPr>
        <w:t>细化</w:t>
      </w:r>
      <w:r>
        <w:rPr>
          <w:rFonts w:hint="eastAsia" w:ascii="仿宋_GB2312" w:hAnsi="仿宋_GB2312" w:eastAsia="仿宋_GB2312" w:cs="仿宋_GB2312"/>
          <w:color w:val="auto"/>
          <w:sz w:val="32"/>
          <w:szCs w:val="32"/>
          <w:highlight w:val="none"/>
        </w:rPr>
        <w:t>审查范围，严格适用例外规定的具体情形和条件，鼓励制定行业性公平竞争审查规则。进一步</w:t>
      </w:r>
      <w:r>
        <w:rPr>
          <w:rFonts w:hint="eastAsia" w:ascii="仿宋_GB2312" w:hAnsi="仿宋_GB2312" w:eastAsia="仿宋_GB2312" w:cs="仿宋_GB2312"/>
          <w:color w:val="auto"/>
          <w:sz w:val="32"/>
          <w:szCs w:val="32"/>
          <w:highlight w:val="none"/>
          <w:lang w:eastAsia="zh-CN"/>
        </w:rPr>
        <w:t>优化</w:t>
      </w:r>
      <w:r>
        <w:rPr>
          <w:rFonts w:hint="eastAsia" w:ascii="仿宋_GB2312" w:hAnsi="仿宋_GB2312" w:eastAsia="仿宋_GB2312" w:cs="仿宋_GB2312"/>
          <w:color w:val="auto"/>
          <w:sz w:val="32"/>
          <w:szCs w:val="32"/>
          <w:highlight w:val="none"/>
        </w:rPr>
        <w:t>完善内部业务机构初审后提交特定机构复核</w:t>
      </w:r>
      <w:r>
        <w:rPr>
          <w:rFonts w:hint="eastAsia" w:ascii="仿宋_GB2312" w:hAnsi="仿宋_GB2312" w:eastAsia="仿宋_GB2312" w:cs="仿宋_GB2312"/>
          <w:color w:val="auto"/>
          <w:sz w:val="32"/>
          <w:szCs w:val="32"/>
          <w:highlight w:val="none"/>
          <w:lang w:eastAsia="zh-CN"/>
        </w:rPr>
        <w:t>的两审制度</w:t>
      </w:r>
      <w:r>
        <w:rPr>
          <w:rFonts w:hint="eastAsia" w:ascii="仿宋_GB2312" w:hAnsi="仿宋_GB2312" w:eastAsia="仿宋_GB2312" w:cs="仿宋_GB2312"/>
          <w:color w:val="auto"/>
          <w:sz w:val="32"/>
          <w:szCs w:val="32"/>
          <w:highlight w:val="none"/>
        </w:rPr>
        <w:t>。建立重大措施会审制度，对拟以各级人民政府名义出台的政策措施，在起草过程中坚持起草部门初审、市场监管部门复审的审查机制。健全公平竞争审查长效工作机制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建立</w:t>
      </w:r>
      <w:r>
        <w:rPr>
          <w:rFonts w:hint="eastAsia" w:ascii="仿宋_GB2312" w:hAnsi="仿宋_GB2312" w:eastAsia="仿宋_GB2312" w:cs="仿宋_GB2312"/>
          <w:color w:val="auto"/>
          <w:sz w:val="32"/>
          <w:szCs w:val="32"/>
          <w:highlight w:val="none"/>
          <w:lang w:eastAsia="zh-CN"/>
        </w:rPr>
        <w:t>健全</w:t>
      </w:r>
      <w:r>
        <w:rPr>
          <w:rFonts w:hint="eastAsia" w:ascii="仿宋_GB2312" w:hAnsi="仿宋_GB2312" w:eastAsia="仿宋_GB2312" w:cs="仿宋_GB2312"/>
          <w:color w:val="auto"/>
          <w:sz w:val="32"/>
          <w:szCs w:val="32"/>
          <w:highlight w:val="none"/>
        </w:rPr>
        <w:t>公平竞争审查抽查、考核、公示制度，加强制度实施督查和实施效果分析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建立违反公平竞争问题反映和举报绿色通道，定期开展评估清理，对经公平竞争审查后出台的政策措施，每三年组织 1 次定期评估。</w:t>
      </w:r>
      <w:r>
        <w:rPr>
          <w:rFonts w:hint="eastAsia" w:ascii="仿宋_GB2312" w:hAnsi="仿宋_GB2312" w:eastAsia="仿宋_GB2312" w:cs="仿宋_GB2312"/>
          <w:color w:val="auto"/>
          <w:sz w:val="32"/>
          <w:szCs w:val="32"/>
          <w:highlight w:val="none"/>
          <w:lang w:eastAsia="zh-CN"/>
        </w:rPr>
        <w:t>探索</w:t>
      </w:r>
      <w:r>
        <w:rPr>
          <w:rFonts w:hint="eastAsia" w:ascii="仿宋_GB2312" w:hAnsi="Calibri" w:eastAsia="仿宋_GB2312" w:cs="仿宋_GB2312"/>
          <w:i w:val="0"/>
          <w:caps w:val="0"/>
          <w:color w:val="auto"/>
          <w:spacing w:val="0"/>
          <w:kern w:val="0"/>
          <w:sz w:val="32"/>
          <w:szCs w:val="32"/>
          <w:highlight w:val="none"/>
          <w:shd w:val="clear" w:fill="FFFFFF"/>
          <w:lang w:val="en-US" w:eastAsia="zh-CN" w:bidi="ar"/>
        </w:rPr>
        <w:t>建立公平竞争审查专家支持体系，推行第三方审查和评估机制。到2025年，公平竞争环境社会满意率力争达到95%以上。</w:t>
      </w:r>
    </w:p>
    <w:p>
      <w:pPr>
        <w:keepNext w:val="0"/>
        <w:keepLines w:val="0"/>
        <w:pageBreakBefore w:val="0"/>
        <w:numPr>
          <w:ilvl w:val="0"/>
          <w:numId w:val="0"/>
        </w:numPr>
        <w:kinsoku/>
        <w:wordWrap/>
        <w:overflowPunct/>
        <w:topLinePunct w:val="0"/>
        <w:autoSpaceDE/>
        <w:autoSpaceDN/>
        <w:bidi w:val="0"/>
        <w:spacing w:line="578" w:lineRule="exact"/>
        <w:ind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二、</w:t>
      </w:r>
      <w:r>
        <w:rPr>
          <w:rFonts w:hint="eastAsia" w:ascii="黑体" w:hAnsi="黑体" w:eastAsia="黑体" w:cs="黑体"/>
          <w:b w:val="0"/>
          <w:bCs w:val="0"/>
          <w:color w:val="auto"/>
          <w:sz w:val="32"/>
          <w:szCs w:val="32"/>
          <w:highlight w:val="none"/>
        </w:rPr>
        <w:t>加强反垄断执法</w:t>
      </w:r>
    </w:p>
    <w:p>
      <w:pPr>
        <w:keepNext w:val="0"/>
        <w:keepLines w:val="0"/>
        <w:pageBreakBefore w:val="0"/>
        <w:numPr>
          <w:ilvl w:val="0"/>
          <w:numId w:val="0"/>
        </w:numPr>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strike w:val="0"/>
          <w:dstrike w:val="0"/>
          <w:color w:val="auto"/>
          <w:sz w:val="32"/>
          <w:szCs w:val="32"/>
          <w:highlight w:val="none"/>
          <w:lang w:eastAsia="zh-CN"/>
        </w:rPr>
        <w:t>配合省局</w:t>
      </w:r>
      <w:r>
        <w:rPr>
          <w:rFonts w:hint="eastAsia" w:ascii="仿宋_GB2312" w:hAnsi="仿宋_GB2312" w:eastAsia="仿宋_GB2312" w:cs="仿宋_GB2312"/>
          <w:color w:val="auto"/>
          <w:sz w:val="32"/>
          <w:szCs w:val="32"/>
          <w:highlight w:val="none"/>
        </w:rPr>
        <w:t>理顺反垄断执法体制，优化</w:t>
      </w:r>
      <w:r>
        <w:rPr>
          <w:rFonts w:hint="eastAsia" w:ascii="仿宋_GB2312" w:hAnsi="仿宋_GB2312" w:eastAsia="仿宋_GB2312" w:cs="仿宋_GB2312"/>
          <w:color w:val="auto"/>
          <w:sz w:val="32"/>
          <w:szCs w:val="32"/>
          <w:highlight w:val="none"/>
          <w:lang w:eastAsia="zh-CN"/>
        </w:rPr>
        <w:t>执</w:t>
      </w:r>
      <w:r>
        <w:rPr>
          <w:rFonts w:hint="eastAsia" w:ascii="仿宋_GB2312" w:hAnsi="仿宋_GB2312" w:eastAsia="仿宋_GB2312" w:cs="仿宋_GB2312"/>
          <w:color w:val="auto"/>
          <w:sz w:val="32"/>
          <w:szCs w:val="32"/>
          <w:highlight w:val="none"/>
        </w:rPr>
        <w:t>法资源，</w:t>
      </w:r>
      <w:r>
        <w:rPr>
          <w:rFonts w:hint="eastAsia" w:ascii="仿宋_GB2312" w:hAnsi="仿宋_GB2312" w:eastAsia="仿宋_GB2312" w:cs="仿宋_GB2312"/>
          <w:strike w:val="0"/>
          <w:dstrike w:val="0"/>
          <w:color w:val="auto"/>
          <w:sz w:val="32"/>
          <w:szCs w:val="32"/>
          <w:highlight w:val="none"/>
          <w:lang w:eastAsia="zh-CN"/>
        </w:rPr>
        <w:t>做好</w:t>
      </w:r>
      <w:r>
        <w:rPr>
          <w:rFonts w:hint="eastAsia" w:ascii="仿宋_GB2312" w:hAnsi="仿宋_GB2312" w:eastAsia="仿宋_GB2312" w:cs="仿宋_GB2312"/>
          <w:color w:val="auto"/>
          <w:sz w:val="32"/>
          <w:szCs w:val="32"/>
          <w:highlight w:val="none"/>
        </w:rPr>
        <w:t>线索核查、案件办理、执法保障、竞争倡导</w:t>
      </w:r>
      <w:r>
        <w:rPr>
          <w:rFonts w:hint="eastAsia" w:ascii="仿宋_GB2312" w:hAnsi="仿宋_GB2312" w:eastAsia="仿宋_GB2312" w:cs="仿宋_GB2312"/>
          <w:color w:val="auto"/>
          <w:sz w:val="32"/>
          <w:szCs w:val="32"/>
          <w:highlight w:val="none"/>
          <w:lang w:eastAsia="zh-CN"/>
        </w:rPr>
        <w:t>工作。</w:t>
      </w:r>
      <w:r>
        <w:rPr>
          <w:rFonts w:hint="eastAsia" w:ascii="仿宋_GB2312" w:hAnsi="仿宋_GB2312" w:eastAsia="仿宋_GB2312" w:cs="仿宋_GB2312"/>
          <w:color w:val="auto"/>
          <w:sz w:val="32"/>
          <w:szCs w:val="32"/>
          <w:highlight w:val="none"/>
        </w:rPr>
        <w:t>探索以</w:t>
      </w:r>
      <w:r>
        <w:rPr>
          <w:rFonts w:hint="eastAsia" w:ascii="仿宋_GB2312" w:hAnsi="仿宋_GB2312" w:eastAsia="仿宋_GB2312" w:cs="仿宋_GB2312"/>
          <w:color w:val="auto"/>
          <w:sz w:val="32"/>
          <w:szCs w:val="32"/>
          <w:highlight w:val="none"/>
          <w:lang w:eastAsia="zh-CN"/>
        </w:rPr>
        <w:t>省局</w:t>
      </w:r>
      <w:r>
        <w:rPr>
          <w:rFonts w:hint="eastAsia" w:ascii="仿宋_GB2312" w:hAnsi="仿宋_GB2312" w:eastAsia="仿宋_GB2312" w:cs="仿宋_GB2312"/>
          <w:color w:val="auto"/>
          <w:sz w:val="32"/>
          <w:szCs w:val="32"/>
          <w:highlight w:val="none"/>
        </w:rPr>
        <w:t>为主体、</w:t>
      </w:r>
      <w:r>
        <w:rPr>
          <w:rFonts w:hint="eastAsia" w:ascii="仿宋_GB2312" w:hAnsi="仿宋_GB2312" w:eastAsia="仿宋_GB2312" w:cs="仿宋_GB2312"/>
          <w:color w:val="auto"/>
          <w:sz w:val="32"/>
          <w:szCs w:val="32"/>
          <w:highlight w:val="none"/>
          <w:lang w:eastAsia="zh-CN"/>
        </w:rPr>
        <w:t>市局</w:t>
      </w:r>
      <w:r>
        <w:rPr>
          <w:rFonts w:hint="eastAsia" w:ascii="仿宋_GB2312" w:hAnsi="仿宋_GB2312" w:eastAsia="仿宋_GB2312" w:cs="仿宋_GB2312"/>
          <w:color w:val="auto"/>
          <w:sz w:val="32"/>
          <w:szCs w:val="32"/>
          <w:highlight w:val="none"/>
        </w:rPr>
        <w:t>为补充的反垄断执法组织架构，形成上下联动、统一高效执法</w:t>
      </w:r>
      <w:r>
        <w:rPr>
          <w:rFonts w:hint="eastAsia" w:ascii="仿宋_GB2312" w:hAnsi="仿宋_GB2312" w:eastAsia="仿宋_GB2312" w:cs="仿宋_GB2312"/>
          <w:strike w:val="0"/>
          <w:dstrike w:val="0"/>
          <w:color w:val="auto"/>
          <w:sz w:val="32"/>
          <w:szCs w:val="32"/>
          <w:highlight w:val="none"/>
          <w:lang w:eastAsia="zh-CN"/>
        </w:rPr>
        <w:t>途径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充分发挥市级反垄断工作机构职能作用，</w:t>
      </w:r>
      <w:r>
        <w:rPr>
          <w:rFonts w:hint="eastAsia" w:ascii="仿宋_GB2312" w:hAnsi="仿宋_GB2312" w:eastAsia="仿宋_GB2312" w:cs="仿宋_GB2312"/>
          <w:color w:val="auto"/>
          <w:sz w:val="32"/>
          <w:szCs w:val="32"/>
          <w:highlight w:val="none"/>
        </w:rPr>
        <w:t>围绕群众反映强烈的热点问题，密切关注改革、民生和要素领域，保持反垄断执法高压态势，严肃查处达成实施垄断协议、滥用市场支配地位行为。密切关注互联网平台竞争问题，着力预防和依法查处排除、限制竞争的垄断行为，打破市场准入壁垒，维护平台经济公平竞争、开放包容的发展环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注重政策引导和培训指导，指导经营者建立竞争合规制度，提高经营者竞争合规意识和能力。</w:t>
      </w:r>
    </w:p>
    <w:p>
      <w:pPr>
        <w:keepNext w:val="0"/>
        <w:keepLines w:val="0"/>
        <w:pageBreakBefore w:val="0"/>
        <w:numPr>
          <w:ilvl w:val="0"/>
          <w:numId w:val="1"/>
        </w:numPr>
        <w:kinsoku/>
        <w:wordWrap/>
        <w:overflowPunct/>
        <w:topLinePunct w:val="0"/>
        <w:autoSpaceDE/>
        <w:autoSpaceDN/>
        <w:bidi w:val="0"/>
        <w:spacing w:line="578" w:lineRule="exact"/>
        <w:ind w:left="0" w:leftChars="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加强反不正当竞争执法</w:t>
      </w:r>
    </w:p>
    <w:p>
      <w:pPr>
        <w:keepNext w:val="0"/>
        <w:keepLines w:val="0"/>
        <w:pageBreakBefore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强反不正当竞争执法制度建设，加强对互联网领域不正当竞争、侵犯商业秘密、市场混淆、虚假宣传等反不正当竞争案件办理指导，推动案件办理规范化、精准度。持续开展重点领域反不正当竞争执法，及时曝光一批典型案例。加强商业秘密保护，鼓励和支持有条件的企业积极创建商业秘密保护示范点。</w:t>
      </w:r>
    </w:p>
    <w:p>
      <w:pPr>
        <w:keepNext w:val="0"/>
        <w:keepLines w:val="0"/>
        <w:pageBreakBefore w:val="0"/>
        <w:numPr>
          <w:ilvl w:val="0"/>
          <w:numId w:val="0"/>
        </w:numPr>
        <w:kinsoku/>
        <w:wordWrap/>
        <w:overflowPunct/>
        <w:topLinePunct w:val="0"/>
        <w:autoSpaceDE/>
        <w:autoSpaceDN/>
        <w:bidi w:val="0"/>
        <w:spacing w:line="578" w:lineRule="exact"/>
        <w:ind w:firstLine="640" w:firstLineChars="200"/>
        <w:textAlignment w:val="auto"/>
        <w:rPr>
          <w:rFonts w:hint="eastAsia" w:ascii="楷体_GB2312" w:hAnsi="楷体_GB2312" w:eastAsia="楷体_GB2312" w:cs="楷体_GB2312"/>
          <w:b/>
          <w:bCs/>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加强价格执法</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推动市场监管体制下价格监管相关制度性安排，努力完善市场价格监管机制与执法体系。加强价格监管应急机制建设。探索建立健全行业价格行为规则，强化经营者价格自律，规范价格行为</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加大对价格欺诈、哄</w:t>
      </w:r>
      <w:r>
        <w:rPr>
          <w:rFonts w:hint="eastAsia" w:ascii="仿宋_GB2312" w:hAnsi="仿宋_GB2312" w:eastAsia="仿宋_GB2312" w:cs="仿宋_GB2312"/>
          <w:color w:val="auto"/>
          <w:sz w:val="32"/>
          <w:szCs w:val="32"/>
          <w:highlight w:val="none"/>
          <w:lang w:eastAsia="zh-CN"/>
        </w:rPr>
        <w:t>抬</w:t>
      </w:r>
      <w:r>
        <w:rPr>
          <w:rFonts w:hint="eastAsia" w:ascii="仿宋_GB2312" w:hAnsi="仿宋_GB2312" w:eastAsia="仿宋_GB2312" w:cs="仿宋_GB2312"/>
          <w:color w:val="auto"/>
          <w:sz w:val="32"/>
          <w:szCs w:val="32"/>
          <w:highlight w:val="none"/>
        </w:rPr>
        <w:t>价格、价格串通、牟取暴利等不正当价格行为的查处力度，</w:t>
      </w:r>
      <w:r>
        <w:rPr>
          <w:rFonts w:hint="eastAsia" w:ascii="仿宋_GB2312" w:hAnsi="Calibri" w:eastAsia="仿宋_GB2312" w:cs="仿宋_GB2312"/>
          <w:i w:val="0"/>
          <w:caps w:val="0"/>
          <w:color w:val="auto"/>
          <w:spacing w:val="0"/>
          <w:kern w:val="0"/>
          <w:sz w:val="32"/>
          <w:szCs w:val="32"/>
          <w:highlight w:val="none"/>
          <w:shd w:val="clear" w:fill="FFFFFF"/>
          <w:lang w:val="en-US" w:eastAsia="zh-CN" w:bidi="ar"/>
        </w:rPr>
        <w:t>加强对涉及民生领域商品和服务价格的监管执法。持续开展重点领域涉企违规收费行为治理，巩固和扩大降费减负效应。</w:t>
      </w:r>
      <w:r>
        <w:rPr>
          <w:rFonts w:hint="eastAsia" w:ascii="仿宋_GB2312" w:hAnsi="仿宋_GB2312" w:eastAsia="仿宋_GB2312" w:cs="仿宋_GB2312"/>
          <w:color w:val="auto"/>
          <w:sz w:val="32"/>
          <w:szCs w:val="32"/>
          <w:highlight w:val="none"/>
        </w:rPr>
        <w:t>立足价格收费监管特点，推动协同监管、综合执法、社会监督、行业自律，多元共治的价格监管体系建设</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楷体_GB2312" w:hAnsi="楷体_GB2312" w:eastAsia="黑体" w:cs="楷体_GB2312"/>
          <w:b/>
          <w:bCs/>
          <w:color w:val="auto"/>
          <w:sz w:val="32"/>
          <w:szCs w:val="32"/>
          <w:highlight w:val="none"/>
          <w:lang w:eastAsia="zh-CN"/>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加强</w:t>
      </w:r>
      <w:r>
        <w:rPr>
          <w:rFonts w:hint="eastAsia" w:ascii="黑体" w:hAnsi="黑体" w:eastAsia="黑体" w:cs="黑体"/>
          <w:color w:val="auto"/>
          <w:sz w:val="32"/>
          <w:szCs w:val="32"/>
          <w:highlight w:val="none"/>
          <w:lang w:eastAsia="zh-CN"/>
        </w:rPr>
        <w:t>网络交易监管</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加强法律法规宣传教育，不断提升电子商务经营者守法经营意识；压实平台主体责任，督促电商平台经营者切实履行法定义务；实施网络交易有效监测，不断提升监测效能；建立线上线下一体化协同监管机制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推动各业务条线工作同时涵盖网上和网下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严厉查处各类网络交易违法行为，维护网络市场良好秩序；实施电子商务经营者信用分类监管，建立健全电子商务经营者信用分类监管数据库，有效发挥失信惩戒机制在网络交易监管中的作用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完善网络市场信用监管体系。</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left"/>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加强打击传销、规范直销工作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加强打击传销管和直销监规则规范建设，</w:t>
      </w:r>
      <w:r>
        <w:rPr>
          <w:rFonts w:hint="eastAsia" w:ascii="仿宋_GB2312" w:hAnsi="仿宋_GB2312" w:eastAsia="仿宋_GB2312" w:cs="仿宋_GB2312"/>
          <w:color w:val="auto"/>
          <w:sz w:val="32"/>
          <w:szCs w:val="32"/>
          <w:highlight w:val="none"/>
          <w:lang w:eastAsia="zh-CN"/>
        </w:rPr>
        <w:t>制定</w:t>
      </w:r>
      <w:r>
        <w:rPr>
          <w:rFonts w:hint="eastAsia" w:ascii="仿宋_GB2312" w:hAnsi="仿宋_GB2312" w:eastAsia="仿宋_GB2312" w:cs="仿宋_GB2312"/>
          <w:color w:val="auto"/>
          <w:sz w:val="32"/>
          <w:szCs w:val="32"/>
          <w:highlight w:val="none"/>
        </w:rPr>
        <w:t>打击传销举报奖励的管理办法，更好地调动社会力量的举报积极性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引导直销企业及经销商合法规范经营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坚持“打防结合、综合治理，标本兼治、重在治本”，突出抓好聚集式传销重点区域整治，重点推进网络传销风险预警和线索挖掘工作，持续开展打击传销宣传教育活动，推动建立完善“党政主导、政法牵头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部门协同、综合治理”的传销治理模式，保持打击传销高压态势</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left"/>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加强广告监管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加强广告导向监管，依法查处涉及导向问题的违法广告，弘扬社会主义核心价值观和中华优秀传统文化。针对重点商品或服务，加大案件查处力度，严厉打击虚假违法广告。每年开展 1-2 个热点行业广告专项治理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曝光一批典型案例。加强广告协同监管，发挥整治虚假违法广告联席会议制度作用，推动形成监管合力。开展广告信用监管示范创建行动，建立广告信用评价制度。推进广告智慧监管，健全广告监测制度体系，提高广告监管效能。充分发挥广告行业组织的作用，强化广告经营者、发布者主体责任，引导行业自律，促进行业发展。</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left"/>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加强其他监管工作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认真贯彻习近平总书记关于长江“十年禁渔”重要指示批示精神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多措并举强化监管，斩断非法交易链条。</w:t>
      </w:r>
      <w:r>
        <w:rPr>
          <w:rFonts w:hint="eastAsia" w:ascii="仿宋_GB2312" w:hAnsi="仿宋_GB2312" w:eastAsia="仿宋_GB2312" w:cs="仿宋_GB2312"/>
          <w:b w:val="0"/>
          <w:bCs w:val="0"/>
          <w:color w:val="auto"/>
          <w:sz w:val="32"/>
          <w:szCs w:val="32"/>
          <w:highlight w:val="none"/>
        </w:rPr>
        <w:t>加</w:t>
      </w:r>
      <w:r>
        <w:rPr>
          <w:rFonts w:hint="eastAsia" w:ascii="仿宋_GB2312" w:hAnsi="仿宋_GB2312" w:eastAsia="仿宋_GB2312" w:cs="仿宋_GB2312"/>
          <w:color w:val="auto"/>
          <w:sz w:val="32"/>
          <w:szCs w:val="32"/>
          <w:highlight w:val="none"/>
        </w:rPr>
        <w:t>强疫情常态化条件下的市场监管，严格落实“两个严禁”，联合相关部门严厉打击野生动物非法交易行为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持续抓好防疫物资质量监管，深入开展口罩、防护服等防疫用品领域认证活动专项整治行动，严厉打击利用疫情哄抬物价、囤积居奇等价格违法行为。加强合同行政监管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严厉查处各类合同违法行为。</w:t>
      </w:r>
    </w:p>
    <w:p>
      <w:pPr>
        <w:keepNext w:val="0"/>
        <w:keepLines w:val="0"/>
        <w:pageBreakBefore w:val="0"/>
        <w:kinsoku/>
        <w:wordWrap/>
        <w:overflowPunct/>
        <w:topLinePunct w:val="0"/>
        <w:autoSpaceDE/>
        <w:autoSpaceDN/>
        <w:bidi w:val="0"/>
        <w:spacing w:line="578" w:lineRule="exact"/>
        <w:jc w:val="both"/>
        <w:textAlignment w:val="auto"/>
        <w:rPr>
          <w:rFonts w:hint="eastAsia" w:ascii="黑体" w:hAnsi="黑体" w:eastAsia="黑体" w:cs="黑体"/>
          <w:color w:val="auto"/>
          <w:sz w:val="36"/>
          <w:szCs w:val="36"/>
          <w:highlight w:val="none"/>
        </w:rPr>
      </w:pPr>
    </w:p>
    <w:p>
      <w:pPr>
        <w:pStyle w:val="2"/>
        <w:keepNext w:val="0"/>
        <w:keepLines w:val="0"/>
        <w:pageBreakBefore w:val="0"/>
        <w:kinsoku/>
        <w:wordWrap/>
        <w:overflowPunct/>
        <w:topLinePunct w:val="0"/>
        <w:autoSpaceDE/>
        <w:autoSpaceDN/>
        <w:bidi w:val="0"/>
        <w:spacing w:line="578" w:lineRule="exact"/>
        <w:textAlignment w:val="auto"/>
        <w:rPr>
          <w:rFonts w:hint="eastAsia" w:ascii="黑体" w:hAnsi="黑体" w:eastAsia="黑体" w:cs="黑体"/>
          <w:color w:val="auto"/>
          <w:sz w:val="36"/>
          <w:szCs w:val="36"/>
          <w:highlight w:val="none"/>
        </w:rPr>
      </w:pPr>
    </w:p>
    <w:p>
      <w:pPr>
        <w:keepNext w:val="0"/>
        <w:keepLines w:val="0"/>
        <w:pageBreakBefore w:val="0"/>
        <w:kinsoku/>
        <w:wordWrap/>
        <w:overflowPunct/>
        <w:topLinePunct w:val="0"/>
        <w:autoSpaceDE/>
        <w:autoSpaceDN/>
        <w:bidi w:val="0"/>
        <w:spacing w:line="578" w:lineRule="exact"/>
        <w:textAlignment w:val="auto"/>
        <w:rPr>
          <w:rFonts w:hint="eastAsia" w:ascii="黑体" w:hAnsi="黑体" w:eastAsia="黑体" w:cs="黑体"/>
          <w:color w:val="auto"/>
          <w:sz w:val="36"/>
          <w:szCs w:val="36"/>
          <w:highlight w:val="none"/>
        </w:rPr>
      </w:pPr>
    </w:p>
    <w:p>
      <w:pPr>
        <w:pStyle w:val="2"/>
        <w:keepNext w:val="0"/>
        <w:keepLines w:val="0"/>
        <w:pageBreakBefore w:val="0"/>
        <w:kinsoku/>
        <w:wordWrap/>
        <w:overflowPunct/>
        <w:topLinePunct w:val="0"/>
        <w:autoSpaceDE/>
        <w:autoSpaceDN/>
        <w:bidi w:val="0"/>
        <w:spacing w:line="578" w:lineRule="exact"/>
        <w:textAlignment w:val="auto"/>
        <w:rPr>
          <w:rFonts w:hint="eastAsia" w:ascii="黑体" w:hAnsi="黑体" w:eastAsia="黑体" w:cs="黑体"/>
          <w:color w:val="auto"/>
          <w:sz w:val="36"/>
          <w:szCs w:val="36"/>
          <w:highlight w:val="none"/>
        </w:rPr>
      </w:pPr>
    </w:p>
    <w:p>
      <w:pPr>
        <w:keepNext w:val="0"/>
        <w:keepLines w:val="0"/>
        <w:pageBreakBefore w:val="0"/>
        <w:kinsoku/>
        <w:wordWrap/>
        <w:overflowPunct/>
        <w:topLinePunct w:val="0"/>
        <w:autoSpaceDE/>
        <w:autoSpaceDN/>
        <w:bidi w:val="0"/>
        <w:spacing w:line="578" w:lineRule="exact"/>
        <w:textAlignment w:val="auto"/>
        <w:rPr>
          <w:rFonts w:hint="eastAsia" w:ascii="黑体" w:hAnsi="黑体" w:eastAsia="黑体" w:cs="黑体"/>
          <w:color w:val="auto"/>
          <w:sz w:val="36"/>
          <w:szCs w:val="36"/>
          <w:highlight w:val="none"/>
        </w:rPr>
      </w:pPr>
    </w:p>
    <w:p>
      <w:pPr>
        <w:pStyle w:val="2"/>
        <w:keepNext w:val="0"/>
        <w:keepLines w:val="0"/>
        <w:pageBreakBefore w:val="0"/>
        <w:kinsoku/>
        <w:wordWrap/>
        <w:overflowPunct/>
        <w:topLinePunct w:val="0"/>
        <w:autoSpaceDE/>
        <w:autoSpaceDN/>
        <w:bidi w:val="0"/>
        <w:spacing w:line="578" w:lineRule="exact"/>
        <w:textAlignment w:val="auto"/>
        <w:rPr>
          <w:rFonts w:hint="eastAsia" w:ascii="黑体" w:hAnsi="黑体" w:eastAsia="黑体" w:cs="黑体"/>
          <w:color w:val="auto"/>
          <w:sz w:val="36"/>
          <w:szCs w:val="36"/>
          <w:highlight w:val="none"/>
        </w:rPr>
      </w:pPr>
    </w:p>
    <w:p>
      <w:pPr>
        <w:keepNext w:val="0"/>
        <w:keepLines w:val="0"/>
        <w:pageBreakBefore w:val="0"/>
        <w:kinsoku/>
        <w:wordWrap/>
        <w:overflowPunct/>
        <w:topLinePunct w:val="0"/>
        <w:autoSpaceDE/>
        <w:autoSpaceDN/>
        <w:bidi w:val="0"/>
        <w:spacing w:line="578" w:lineRule="exact"/>
        <w:textAlignment w:val="auto"/>
        <w:rPr>
          <w:rFonts w:hint="eastAsia" w:ascii="黑体" w:hAnsi="黑体" w:eastAsia="黑体" w:cs="黑体"/>
          <w:color w:val="auto"/>
          <w:sz w:val="36"/>
          <w:szCs w:val="36"/>
          <w:highlight w:val="none"/>
        </w:rPr>
      </w:pPr>
    </w:p>
    <w:p>
      <w:pPr>
        <w:keepNext w:val="0"/>
        <w:keepLines w:val="0"/>
        <w:pageBreakBefore w:val="0"/>
        <w:widowControl w:val="0"/>
        <w:kinsoku/>
        <w:wordWrap/>
        <w:overflowPunct/>
        <w:topLinePunct w:val="0"/>
        <w:autoSpaceDE/>
        <w:autoSpaceDN/>
        <w:bidi w:val="0"/>
        <w:adjustRightInd/>
        <w:spacing w:line="530" w:lineRule="exact"/>
        <w:jc w:val="center"/>
        <w:textAlignment w:val="auto"/>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第</w:t>
      </w:r>
      <w:r>
        <w:rPr>
          <w:rFonts w:hint="eastAsia" w:ascii="黑体" w:hAnsi="黑体" w:eastAsia="黑体" w:cs="黑体"/>
          <w:color w:val="auto"/>
          <w:sz w:val="36"/>
          <w:szCs w:val="36"/>
          <w:highlight w:val="none"/>
          <w:lang w:eastAsia="zh-CN"/>
        </w:rPr>
        <w:t>五</w:t>
      </w:r>
      <w:r>
        <w:rPr>
          <w:rFonts w:hint="eastAsia" w:ascii="黑体" w:hAnsi="黑体" w:eastAsia="黑体" w:cs="黑体"/>
          <w:color w:val="auto"/>
          <w:sz w:val="36"/>
          <w:szCs w:val="36"/>
          <w:highlight w:val="none"/>
        </w:rPr>
        <w:t>章</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rPr>
        <w:t>加强消费环境建设</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rPr>
        <w:t>全面促进消费升级</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立足扩大内需这一战略基点，进一步完善消费维权体制机制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着力打造市场监管民生服务品牌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着力净化消费环境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释放消费潜力，为建设强大国内市场、畅通国内大循环发挥积极作用。</w:t>
      </w:r>
    </w:p>
    <w:p>
      <w:pPr>
        <w:keepNext w:val="0"/>
        <w:keepLines w:val="0"/>
        <w:pageBreakBefore w:val="0"/>
        <w:widowControl w:val="0"/>
        <w:numPr>
          <w:ilvl w:val="0"/>
          <w:numId w:val="3"/>
        </w:numPr>
        <w:kinsoku/>
        <w:wordWrap/>
        <w:overflowPunct/>
        <w:topLinePunct w:val="0"/>
        <w:autoSpaceDE/>
        <w:autoSpaceDN/>
        <w:bidi w:val="0"/>
        <w:adjustRightInd/>
        <w:snapToGrid/>
        <w:spacing w:line="530" w:lineRule="exact"/>
        <w:ind w:left="-10" w:leftChars="0" w:firstLine="640" w:firstLineChars="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健全消费维权制度体系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Calibri" w:eastAsia="仿宋_GB2312" w:cs="仿宋_GB2312"/>
          <w:i w:val="0"/>
          <w:caps w:val="0"/>
          <w:color w:val="auto"/>
          <w:spacing w:val="0"/>
          <w:kern w:val="0"/>
          <w:sz w:val="32"/>
          <w:szCs w:val="32"/>
          <w:highlight w:val="none"/>
          <w:shd w:val="clear" w:fill="FFFFFF"/>
          <w:lang w:val="en-US" w:eastAsia="zh-CN" w:bidi="ar"/>
        </w:rPr>
        <w:t>完善消费维权投诉平台建设，建立消费投诉联络站、服务站投诉快速处理机制。</w:t>
      </w:r>
      <w:r>
        <w:rPr>
          <w:rFonts w:hint="eastAsia" w:ascii="仿宋_GB2312" w:hAnsi="仿宋_GB2312" w:eastAsia="仿宋_GB2312" w:cs="仿宋_GB2312"/>
          <w:color w:val="auto"/>
          <w:sz w:val="32"/>
          <w:szCs w:val="32"/>
          <w:highlight w:val="none"/>
        </w:rPr>
        <w:t>加大“诉转案”力度，加强对消费投诉信息中违法违规线索的筛查和甄别，深挖案源线索，严厉查处侵犯消费者权益的违法行为。鼓励经营者建立小额消费争议快速和解机制，大力发展在线消费纠纷解决（ODR）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积极落实先行赔付制度。健全产品交易安全防范制度，探索开展网络交易平台安全评级，完善质量价格追溯制度，引导企业主动发布产品和服务质量价格专项承诺</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30" w:lineRule="exact"/>
        <w:ind w:left="-10" w:leftChars="0" w:firstLine="640" w:firstLineChars="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发挥消费者组织作用</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加强消费引导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围绕网络、老年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农村和金融等消费领域，聚焦预付式消费、保健品虚假宣传、非法收集个人信息等突出问题，广泛开展消费教育活动，增强消费者防范欺诈能力。强化社会监督，围绕手机 APP、快递、游学、家政、银行、保险等重点服务领域，通过有针对性的消费体察、服务评议、调查、点评等活动，有效发挥社会监督作用。联合行业组织、企业实施商品鉴别“慧眼计划”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加大维权力度，聚焦侵害消费者合法权益行为、综合运用约谈、曝光等多种手段，形成有力制约机制。</w:t>
      </w:r>
    </w:p>
    <w:p>
      <w:pPr>
        <w:keepNext w:val="0"/>
        <w:keepLines w:val="0"/>
        <w:pageBreakBefore w:val="0"/>
        <w:widowControl w:val="0"/>
        <w:kinsoku/>
        <w:wordWrap/>
        <w:overflowPunct/>
        <w:topLinePunct w:val="0"/>
        <w:autoSpaceDE/>
        <w:autoSpaceDN/>
        <w:bidi w:val="0"/>
        <w:adjustRightInd/>
        <w:spacing w:line="53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三、深化</w:t>
      </w:r>
      <w:r>
        <w:rPr>
          <w:rFonts w:hint="eastAsia" w:ascii="黑体" w:hAnsi="黑体" w:eastAsia="黑体" w:cs="黑体"/>
          <w:color w:val="auto"/>
          <w:sz w:val="32"/>
          <w:szCs w:val="32"/>
          <w:highlight w:val="none"/>
        </w:rPr>
        <w:t>放心满意消费创建</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在电商、食品药品、价格、粮油等重点领域，快递、旅游、金融、电信、餐饮等重点行业，以及供水、供气、供电和养老等公共服务行业深入开展放心满意消费创建活动，全面推进网络消费、服务消费、品牌消费、民生领域消费放心满意工程，进一步提升创建工作覆盖面，推动消费领域重点突出问题得到有效解决，区域内制假售假、商业欺诈、虚假宣传等不法经营行为得到有效遏制，消费风险大幅下降。</w:t>
      </w:r>
      <w:r>
        <w:rPr>
          <w:rFonts w:hint="eastAsia" w:ascii="仿宋_GB2312" w:hAnsi="仿宋_GB2312" w:eastAsia="仿宋_GB2312" w:cs="仿宋_GB2312"/>
          <w:color w:val="auto"/>
          <w:sz w:val="32"/>
          <w:szCs w:val="32"/>
          <w:highlight w:val="none"/>
          <w:lang w:eastAsia="zh-CN"/>
        </w:rPr>
        <w:t>力争到</w:t>
      </w:r>
      <w:r>
        <w:rPr>
          <w:rFonts w:hint="eastAsia" w:ascii="仿宋_GB2312" w:hAnsi="仿宋_GB2312" w:eastAsia="仿宋_GB2312" w:cs="仿宋_GB2312"/>
          <w:color w:val="auto"/>
          <w:sz w:val="32"/>
          <w:szCs w:val="32"/>
          <w:highlight w:val="none"/>
          <w:lang w:val="en-US" w:eastAsia="zh-CN"/>
        </w:rPr>
        <w:t>2025年，群众对消费环境的总体满意度达到85%左右。</w:t>
      </w:r>
    </w:p>
    <w:p>
      <w:pPr>
        <w:pStyle w:val="2"/>
        <w:keepNext w:val="0"/>
        <w:keepLines w:val="0"/>
        <w:pageBreakBefore w:val="0"/>
        <w:widowControl w:val="0"/>
        <w:kinsoku/>
        <w:wordWrap/>
        <w:overflowPunct/>
        <w:topLinePunct w:val="0"/>
        <w:autoSpaceDE/>
        <w:autoSpaceDN/>
        <w:bidi w:val="0"/>
        <w:adjustRightInd/>
        <w:spacing w:line="530" w:lineRule="exact"/>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pacing w:line="530" w:lineRule="exact"/>
        <w:textAlignment w:val="auto"/>
        <w:rPr>
          <w:rFonts w:hint="eastAsia"/>
          <w:color w:val="auto"/>
          <w:highlight w:val="none"/>
        </w:rPr>
      </w:pPr>
    </w:p>
    <w:tbl>
      <w:tblPr>
        <w:tblStyle w:val="9"/>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keepNext w:val="0"/>
              <w:keepLines w:val="0"/>
              <w:pageBreakBefore w:val="0"/>
              <w:widowControl w:val="0"/>
              <w:kinsoku/>
              <w:wordWrap/>
              <w:overflowPunct/>
              <w:topLinePunct w:val="0"/>
              <w:autoSpaceDE/>
              <w:autoSpaceDN/>
              <w:bidi w:val="0"/>
              <w:adjustRightInd/>
              <w:spacing w:line="530" w:lineRule="exact"/>
              <w:jc w:val="center"/>
              <w:textAlignment w:val="auto"/>
              <w:rPr>
                <w:rFonts w:hint="eastAsia" w:ascii="黑体" w:hAnsi="黑体" w:eastAsia="黑体" w:cs="黑体"/>
                <w:color w:val="auto"/>
                <w:sz w:val="32"/>
                <w:szCs w:val="32"/>
                <w:highlight w:val="none"/>
                <w:vertAlign w:val="baseline"/>
              </w:rPr>
            </w:pPr>
            <w:r>
              <w:rPr>
                <w:rFonts w:hint="eastAsia" w:ascii="黑体" w:hAnsi="黑体" w:eastAsia="黑体" w:cs="黑体"/>
                <w:color w:val="auto"/>
                <w:sz w:val="30"/>
                <w:szCs w:val="30"/>
                <w:highlight w:val="none"/>
                <w:shd w:val="clear" w:color="auto" w:fill="auto"/>
                <w:lang w:val="en-US" w:eastAsia="zh-CN"/>
              </w:rPr>
              <w:t>放心满意消费创建活动重点任务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keepNext w:val="0"/>
              <w:keepLines w:val="0"/>
              <w:pageBreakBefore w:val="0"/>
              <w:widowControl w:val="0"/>
              <w:kinsoku/>
              <w:wordWrap/>
              <w:overflowPunct/>
              <w:topLinePunct w:val="0"/>
              <w:autoSpaceDE/>
              <w:autoSpaceDN/>
              <w:bidi w:val="0"/>
              <w:adjustRightInd/>
              <w:snapToGrid/>
              <w:spacing w:afterAutospacing="0" w:line="530" w:lineRule="exact"/>
              <w:ind w:firstLine="602" w:firstLineChars="200"/>
              <w:jc w:val="left"/>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b/>
                <w:bCs/>
                <w:color w:val="auto"/>
                <w:sz w:val="30"/>
                <w:szCs w:val="30"/>
                <w:highlight w:val="none"/>
              </w:rPr>
              <w:t>1.目标。</w:t>
            </w:r>
            <w:r>
              <w:rPr>
                <w:rFonts w:hint="eastAsia" w:ascii="仿宋_GB2312" w:hAnsi="仿宋_GB2312" w:eastAsia="仿宋_GB2312" w:cs="仿宋_GB2312"/>
                <w:color w:val="auto"/>
                <w:sz w:val="30"/>
                <w:szCs w:val="30"/>
                <w:highlight w:val="none"/>
              </w:rPr>
              <w:t>消费环境安全度、经营者诚信度、消费者满意度、社会认同度明显提升</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消费环境明显改善，消费对全</w:t>
            </w:r>
            <w:r>
              <w:rPr>
                <w:rFonts w:hint="eastAsia" w:ascii="仿宋_GB2312" w:hAnsi="仿宋_GB2312" w:eastAsia="仿宋_GB2312" w:cs="仿宋_GB2312"/>
                <w:color w:val="auto"/>
                <w:sz w:val="30"/>
                <w:szCs w:val="30"/>
                <w:highlight w:val="none"/>
                <w:lang w:eastAsia="zh-CN"/>
              </w:rPr>
              <w:t>市</w:t>
            </w:r>
            <w:r>
              <w:rPr>
                <w:rFonts w:hint="eastAsia" w:ascii="仿宋_GB2312" w:hAnsi="仿宋_GB2312" w:eastAsia="仿宋_GB2312" w:cs="仿宋_GB2312"/>
                <w:color w:val="auto"/>
                <w:sz w:val="30"/>
                <w:szCs w:val="30"/>
                <w:highlight w:val="none"/>
              </w:rPr>
              <w:t>经济增长贡献率</w:t>
            </w:r>
            <w:r>
              <w:rPr>
                <w:rFonts w:hint="eastAsia" w:ascii="仿宋_GB2312" w:hAnsi="仿宋_GB2312" w:eastAsia="仿宋_GB2312" w:cs="仿宋_GB2312"/>
                <w:color w:val="auto"/>
                <w:sz w:val="30"/>
                <w:szCs w:val="30"/>
                <w:highlight w:val="none"/>
                <w:lang w:eastAsia="zh-CN"/>
              </w:rPr>
              <w:t>明显提</w:t>
            </w:r>
            <w:r>
              <w:rPr>
                <w:rFonts w:hint="eastAsia" w:ascii="仿宋_GB2312" w:hAnsi="仿宋_GB2312" w:eastAsia="仿宋_GB2312" w:cs="仿宋_GB2312"/>
                <w:color w:val="auto"/>
                <w:sz w:val="30"/>
                <w:szCs w:val="30"/>
                <w:highlight w:val="none"/>
              </w:rPr>
              <w:t>高。全</w:t>
            </w:r>
            <w:r>
              <w:rPr>
                <w:rFonts w:hint="eastAsia" w:ascii="仿宋_GB2312" w:hAnsi="仿宋_GB2312" w:eastAsia="仿宋_GB2312" w:cs="仿宋_GB2312"/>
                <w:color w:val="auto"/>
                <w:sz w:val="30"/>
                <w:szCs w:val="30"/>
                <w:highlight w:val="none"/>
                <w:lang w:eastAsia="zh-CN"/>
              </w:rPr>
              <w:t>市</w:t>
            </w:r>
            <w:r>
              <w:rPr>
                <w:rFonts w:hint="eastAsia" w:ascii="仿宋_GB2312" w:hAnsi="仿宋_GB2312" w:eastAsia="仿宋_GB2312" w:cs="仿宋_GB2312"/>
                <w:color w:val="auto"/>
                <w:sz w:val="30"/>
                <w:szCs w:val="30"/>
                <w:highlight w:val="none"/>
              </w:rPr>
              <w:t>新增放心满意消费示范单位</w:t>
            </w:r>
            <w:r>
              <w:rPr>
                <w:rFonts w:hint="eastAsia" w:ascii="仿宋_GB2312" w:hAnsi="仿宋_GB2312" w:eastAsia="仿宋_GB2312" w:cs="仿宋_GB2312"/>
                <w:color w:val="auto"/>
                <w:sz w:val="30"/>
                <w:szCs w:val="30"/>
                <w:highlight w:val="none"/>
                <w:lang w:val="en-US" w:eastAsia="zh-CN"/>
              </w:rPr>
              <w:t>200</w:t>
            </w:r>
            <w:r>
              <w:rPr>
                <w:rFonts w:hint="eastAsia" w:ascii="仿宋_GB2312" w:hAnsi="仿宋_GB2312" w:eastAsia="仿宋_GB2312" w:cs="仿宋_GB2312"/>
                <w:color w:val="auto"/>
                <w:sz w:val="30"/>
                <w:szCs w:val="30"/>
                <w:highlight w:val="none"/>
              </w:rPr>
              <w:t>家以上</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培育创建放心满意消费示范街区（市场、景区、服务区）</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个以上。放心满</w:t>
            </w:r>
            <w:r>
              <w:rPr>
                <w:rFonts w:hint="eastAsia" w:ascii="仿宋_GB2312" w:hAnsi="仿宋_GB2312" w:eastAsia="仿宋_GB2312" w:cs="仿宋_GB2312"/>
                <w:color w:val="auto"/>
                <w:sz w:val="30"/>
                <w:szCs w:val="30"/>
                <w:highlight w:val="none"/>
                <w:lang w:eastAsia="zh-CN"/>
              </w:rPr>
              <w:t>意消费示范</w:t>
            </w:r>
            <w:r>
              <w:rPr>
                <w:rFonts w:hint="eastAsia" w:ascii="仿宋_GB2312" w:hAnsi="仿宋_GB2312" w:eastAsia="仿宋_GB2312" w:cs="仿宋_GB2312"/>
                <w:color w:val="auto"/>
                <w:sz w:val="30"/>
                <w:szCs w:val="30"/>
                <w:highlight w:val="none"/>
              </w:rPr>
              <w:t>县</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个，放心满意消费示范行业</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个以上</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发展线下无理由退货承诺单位</w:t>
            </w:r>
            <w:r>
              <w:rPr>
                <w:rFonts w:hint="eastAsia" w:ascii="仿宋_GB2312" w:hAnsi="仿宋_GB2312" w:eastAsia="仿宋_GB2312" w:cs="仿宋_GB2312"/>
                <w:color w:val="auto"/>
                <w:sz w:val="30"/>
                <w:szCs w:val="30"/>
                <w:highlight w:val="none"/>
                <w:lang w:val="en-US" w:eastAsia="zh-CN"/>
              </w:rPr>
              <w:t>350</w:t>
            </w:r>
            <w:r>
              <w:rPr>
                <w:rFonts w:hint="eastAsia" w:ascii="仿宋_GB2312" w:hAnsi="仿宋_GB2312" w:eastAsia="仿宋_GB2312" w:cs="仿宋_GB2312"/>
                <w:color w:val="auto"/>
                <w:sz w:val="30"/>
                <w:szCs w:val="30"/>
                <w:highlight w:val="none"/>
              </w:rPr>
              <w:t>户以上。</w:t>
            </w:r>
          </w:p>
          <w:p>
            <w:pPr>
              <w:keepNext w:val="0"/>
              <w:keepLines w:val="0"/>
              <w:pageBreakBefore w:val="0"/>
              <w:widowControl w:val="0"/>
              <w:kinsoku/>
              <w:wordWrap/>
              <w:overflowPunct/>
              <w:topLinePunct w:val="0"/>
              <w:autoSpaceDE/>
              <w:autoSpaceDN/>
              <w:bidi w:val="0"/>
              <w:adjustRightInd/>
              <w:snapToGrid/>
              <w:spacing w:afterAutospacing="0" w:line="530" w:lineRule="exact"/>
              <w:ind w:firstLine="600" w:firstLineChars="200"/>
              <w:jc w:val="left"/>
              <w:textAlignment w:val="auto"/>
              <w:rPr>
                <w:rFonts w:hint="eastAsia" w:ascii="仿宋_GB2312" w:hAnsi="仿宋_GB2312" w:eastAsia="仿宋_GB2312" w:cs="仿宋_GB2312"/>
                <w:color w:val="auto"/>
                <w:sz w:val="30"/>
                <w:szCs w:val="30"/>
                <w:highlight w:val="none"/>
                <w:vertAlign w:val="baseline"/>
                <w:lang w:eastAsia="zh-CN"/>
              </w:rPr>
            </w:pP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b/>
                <w:bCs/>
                <w:color w:val="auto"/>
                <w:sz w:val="30"/>
                <w:szCs w:val="30"/>
                <w:highlight w:val="none"/>
              </w:rPr>
              <w:t>2.任务。</w:t>
            </w:r>
            <w:r>
              <w:rPr>
                <w:rFonts w:hint="eastAsia" w:ascii="仿宋_GB2312" w:hAnsi="仿宋_GB2312" w:eastAsia="仿宋_GB2312" w:cs="仿宋_GB2312"/>
                <w:color w:val="auto"/>
                <w:sz w:val="30"/>
                <w:szCs w:val="30"/>
                <w:highlight w:val="none"/>
              </w:rPr>
              <w:t>聚焦民生领域、重点区域、特色板块、热点行业、新</w:t>
            </w:r>
            <w:r>
              <w:rPr>
                <w:rFonts w:hint="eastAsia" w:ascii="仿宋_GB2312" w:hAnsi="仿宋_GB2312" w:eastAsia="仿宋_GB2312" w:cs="仿宋_GB2312"/>
                <w:color w:val="auto"/>
                <w:sz w:val="30"/>
                <w:szCs w:val="30"/>
                <w:highlight w:val="none"/>
                <w:lang w:eastAsia="zh-CN"/>
              </w:rPr>
              <w:t>消费</w:t>
            </w:r>
            <w:r>
              <w:rPr>
                <w:rFonts w:hint="eastAsia" w:ascii="仿宋_GB2312" w:hAnsi="仿宋_GB2312" w:eastAsia="仿宋_GB2312" w:cs="仿宋_GB2312"/>
                <w:color w:val="auto"/>
                <w:sz w:val="30"/>
                <w:szCs w:val="30"/>
                <w:highlight w:val="none"/>
              </w:rPr>
              <w:t>、线下无理由退货等六个方面，实施</w:t>
            </w:r>
            <w:r>
              <w:rPr>
                <w:rFonts w:hint="eastAsia" w:ascii="仿宋_GB2312" w:hAnsi="仿宋_GB2312" w:eastAsia="仿宋_GB2312" w:cs="仿宋_GB2312"/>
                <w:color w:val="auto"/>
                <w:sz w:val="30"/>
                <w:szCs w:val="30"/>
                <w:highlight w:val="none"/>
                <w:lang w:eastAsia="zh-CN"/>
              </w:rPr>
              <w:t>实</w:t>
            </w:r>
            <w:r>
              <w:rPr>
                <w:rFonts w:hint="eastAsia" w:ascii="仿宋_GB2312" w:hAnsi="仿宋_GB2312" w:eastAsia="仿宋_GB2312" w:cs="仿宋_GB2312"/>
                <w:color w:val="auto"/>
                <w:sz w:val="30"/>
                <w:szCs w:val="30"/>
                <w:highlight w:val="none"/>
              </w:rPr>
              <w:t>物消费放心满意消费提升工程、实施服务</w:t>
            </w:r>
            <w:r>
              <w:rPr>
                <w:rFonts w:hint="eastAsia" w:ascii="仿宋_GB2312" w:hAnsi="仿宋_GB2312" w:eastAsia="仿宋_GB2312" w:cs="仿宋_GB2312"/>
                <w:color w:val="auto"/>
                <w:sz w:val="30"/>
                <w:szCs w:val="30"/>
                <w:highlight w:val="none"/>
                <w:lang w:eastAsia="zh-CN"/>
              </w:rPr>
              <w:t>消费</w:t>
            </w:r>
            <w:r>
              <w:rPr>
                <w:rFonts w:hint="eastAsia" w:ascii="仿宋_GB2312" w:hAnsi="仿宋_GB2312" w:eastAsia="仿宋_GB2312" w:cs="仿宋_GB2312"/>
                <w:color w:val="auto"/>
                <w:sz w:val="30"/>
                <w:szCs w:val="30"/>
                <w:highlight w:val="none"/>
              </w:rPr>
              <w:t>放心满意消费提升工程</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实施食品消</w:t>
            </w:r>
            <w:r>
              <w:rPr>
                <w:rFonts w:hint="eastAsia" w:ascii="仿宋_GB2312" w:hAnsi="仿宋_GB2312" w:eastAsia="仿宋_GB2312" w:cs="仿宋_GB2312"/>
                <w:color w:val="auto"/>
                <w:sz w:val="30"/>
                <w:szCs w:val="30"/>
                <w:highlight w:val="none"/>
                <w:lang w:eastAsia="zh-CN"/>
              </w:rPr>
              <w:t>费</w:t>
            </w:r>
            <w:r>
              <w:rPr>
                <w:rFonts w:hint="eastAsia" w:ascii="仿宋_GB2312" w:hAnsi="仿宋_GB2312" w:eastAsia="仿宋_GB2312" w:cs="仿宋_GB2312"/>
                <w:color w:val="auto"/>
                <w:sz w:val="30"/>
                <w:szCs w:val="30"/>
                <w:highlight w:val="none"/>
              </w:rPr>
              <w:t>放心</w:t>
            </w:r>
            <w:r>
              <w:rPr>
                <w:rFonts w:hint="eastAsia" w:ascii="仿宋_GB2312" w:hAnsi="仿宋_GB2312" w:eastAsia="仿宋_GB2312" w:cs="仿宋_GB2312"/>
                <w:color w:val="auto"/>
                <w:sz w:val="30"/>
                <w:szCs w:val="30"/>
                <w:highlight w:val="none"/>
                <w:lang w:eastAsia="zh-CN"/>
              </w:rPr>
              <w:t>满意消费</w:t>
            </w:r>
            <w:r>
              <w:rPr>
                <w:rFonts w:hint="eastAsia" w:ascii="仿宋_GB2312" w:hAnsi="仿宋_GB2312" w:eastAsia="仿宋_GB2312" w:cs="仿宋_GB2312"/>
                <w:color w:val="auto"/>
                <w:sz w:val="30"/>
                <w:szCs w:val="30"/>
                <w:highlight w:val="none"/>
              </w:rPr>
              <w:t>提升工程、实施电商消</w:t>
            </w:r>
            <w:r>
              <w:rPr>
                <w:rFonts w:hint="eastAsia" w:ascii="仿宋_GB2312" w:hAnsi="仿宋_GB2312" w:eastAsia="仿宋_GB2312" w:cs="仿宋_GB2312"/>
                <w:color w:val="auto"/>
                <w:sz w:val="30"/>
                <w:szCs w:val="30"/>
                <w:highlight w:val="none"/>
                <w:lang w:eastAsia="zh-CN"/>
              </w:rPr>
              <w:t>费满</w:t>
            </w:r>
            <w:r>
              <w:rPr>
                <w:rFonts w:hint="eastAsia" w:ascii="仿宋_GB2312" w:hAnsi="仿宋_GB2312" w:eastAsia="仿宋_GB2312" w:cs="仿宋_GB2312"/>
                <w:color w:val="auto"/>
                <w:sz w:val="30"/>
                <w:szCs w:val="30"/>
                <w:highlight w:val="none"/>
              </w:rPr>
              <w:t>意消费提升工程、实施乡</w:t>
            </w:r>
            <w:r>
              <w:rPr>
                <w:rFonts w:hint="eastAsia" w:ascii="仿宋_GB2312" w:hAnsi="仿宋_GB2312" w:eastAsia="仿宋_GB2312" w:cs="仿宋_GB2312"/>
                <w:color w:val="auto"/>
                <w:sz w:val="30"/>
                <w:szCs w:val="30"/>
                <w:highlight w:val="none"/>
                <w:lang w:eastAsia="zh-CN"/>
              </w:rPr>
              <w:t>村消费放心满意</w:t>
            </w:r>
            <w:r>
              <w:rPr>
                <w:rFonts w:hint="eastAsia" w:ascii="仿宋_GB2312" w:hAnsi="仿宋_GB2312" w:eastAsia="仿宋_GB2312" w:cs="仿宋_GB2312"/>
                <w:color w:val="auto"/>
                <w:sz w:val="30"/>
                <w:szCs w:val="30"/>
                <w:highlight w:val="none"/>
              </w:rPr>
              <w:t>提升工程、实施工厂</w:t>
            </w:r>
            <w:r>
              <w:rPr>
                <w:rFonts w:hint="eastAsia" w:ascii="仿宋_GB2312" w:hAnsi="仿宋_GB2312" w:eastAsia="仿宋_GB2312" w:cs="仿宋_GB2312"/>
                <w:color w:val="auto"/>
                <w:sz w:val="30"/>
                <w:szCs w:val="30"/>
                <w:highlight w:val="none"/>
                <w:lang w:eastAsia="zh-CN"/>
              </w:rPr>
              <w:t>消费</w:t>
            </w:r>
            <w:r>
              <w:rPr>
                <w:rFonts w:hint="eastAsia" w:ascii="仿宋_GB2312" w:hAnsi="仿宋_GB2312" w:eastAsia="仿宋_GB2312" w:cs="仿宋_GB2312"/>
                <w:color w:val="auto"/>
                <w:sz w:val="30"/>
                <w:szCs w:val="30"/>
                <w:highlight w:val="none"/>
              </w:rPr>
              <w:t>放心</w:t>
            </w:r>
            <w:r>
              <w:rPr>
                <w:rFonts w:hint="eastAsia" w:ascii="仿宋_GB2312" w:hAnsi="仿宋_GB2312" w:eastAsia="仿宋_GB2312" w:cs="仿宋_GB2312"/>
                <w:color w:val="auto"/>
                <w:sz w:val="30"/>
                <w:szCs w:val="30"/>
                <w:highlight w:val="none"/>
                <w:lang w:eastAsia="zh-CN"/>
              </w:rPr>
              <w:t>满意</w:t>
            </w:r>
            <w:r>
              <w:rPr>
                <w:rFonts w:hint="eastAsia" w:ascii="仿宋_GB2312" w:hAnsi="仿宋_GB2312" w:eastAsia="仿宋_GB2312" w:cs="仿宋_GB2312"/>
                <w:color w:val="auto"/>
                <w:sz w:val="30"/>
                <w:szCs w:val="30"/>
                <w:highlight w:val="none"/>
              </w:rPr>
              <w:t>消费提升工</w:t>
            </w:r>
            <w:r>
              <w:rPr>
                <w:rFonts w:hint="eastAsia" w:ascii="仿宋_GB2312" w:hAnsi="仿宋_GB2312" w:eastAsia="仿宋_GB2312" w:cs="仿宋_GB2312"/>
                <w:color w:val="auto"/>
                <w:sz w:val="30"/>
                <w:szCs w:val="30"/>
                <w:highlight w:val="none"/>
                <w:lang w:eastAsia="zh-CN"/>
              </w:rPr>
              <w:t>程</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实施行业消费</w:t>
            </w:r>
            <w:r>
              <w:rPr>
                <w:rFonts w:hint="eastAsia" w:ascii="仿宋_GB2312" w:hAnsi="仿宋_GB2312" w:eastAsia="仿宋_GB2312" w:cs="仿宋_GB2312"/>
                <w:color w:val="auto"/>
                <w:sz w:val="30"/>
                <w:szCs w:val="30"/>
                <w:highlight w:val="none"/>
              </w:rPr>
              <w:t>放心满</w:t>
            </w:r>
            <w:r>
              <w:rPr>
                <w:rFonts w:hint="eastAsia" w:ascii="仿宋_GB2312" w:hAnsi="仿宋_GB2312" w:eastAsia="仿宋_GB2312" w:cs="仿宋_GB2312"/>
                <w:color w:val="auto"/>
                <w:sz w:val="30"/>
                <w:szCs w:val="30"/>
                <w:highlight w:val="none"/>
                <w:lang w:eastAsia="zh-CN"/>
              </w:rPr>
              <w:t>意</w:t>
            </w:r>
            <w:r>
              <w:rPr>
                <w:rFonts w:hint="eastAsia" w:ascii="仿宋_GB2312" w:hAnsi="仿宋_GB2312" w:eastAsia="仿宋_GB2312" w:cs="仿宋_GB2312"/>
                <w:color w:val="auto"/>
                <w:sz w:val="30"/>
                <w:szCs w:val="30"/>
                <w:highlight w:val="none"/>
              </w:rPr>
              <w:t>消</w:t>
            </w:r>
            <w:r>
              <w:rPr>
                <w:rFonts w:hint="eastAsia" w:ascii="仿宋_GB2312" w:hAnsi="仿宋_GB2312" w:eastAsia="仿宋_GB2312" w:cs="仿宋_GB2312"/>
                <w:color w:val="auto"/>
                <w:sz w:val="30"/>
                <w:szCs w:val="30"/>
                <w:highlight w:val="none"/>
                <w:lang w:eastAsia="zh-CN"/>
              </w:rPr>
              <w:t>费</w:t>
            </w:r>
            <w:r>
              <w:rPr>
                <w:rFonts w:hint="eastAsia" w:ascii="仿宋_GB2312" w:hAnsi="仿宋_GB2312" w:eastAsia="仿宋_GB2312" w:cs="仿宋_GB2312"/>
                <w:color w:val="auto"/>
                <w:sz w:val="30"/>
                <w:szCs w:val="30"/>
                <w:highlight w:val="none"/>
              </w:rPr>
              <w:t>提升工程</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实施区域</w:t>
            </w:r>
            <w:r>
              <w:rPr>
                <w:rFonts w:hint="eastAsia" w:ascii="仿宋_GB2312" w:hAnsi="仿宋_GB2312" w:eastAsia="仿宋_GB2312" w:cs="仿宋_GB2312"/>
                <w:color w:val="auto"/>
                <w:sz w:val="30"/>
                <w:szCs w:val="30"/>
                <w:highlight w:val="none"/>
                <w:lang w:eastAsia="zh-CN"/>
              </w:rPr>
              <w:t>消费</w:t>
            </w:r>
            <w:r>
              <w:rPr>
                <w:rFonts w:hint="eastAsia" w:ascii="仿宋_GB2312" w:hAnsi="仿宋_GB2312" w:eastAsia="仿宋_GB2312" w:cs="仿宋_GB2312"/>
                <w:color w:val="auto"/>
                <w:sz w:val="30"/>
                <w:szCs w:val="30"/>
                <w:highlight w:val="none"/>
              </w:rPr>
              <w:t>的</w:t>
            </w:r>
            <w:r>
              <w:rPr>
                <w:rFonts w:hint="eastAsia" w:ascii="仿宋_GB2312" w:hAnsi="仿宋_GB2312" w:eastAsia="仿宋_GB2312" w:cs="仿宋_GB2312"/>
                <w:color w:val="auto"/>
                <w:sz w:val="30"/>
                <w:szCs w:val="30"/>
                <w:highlight w:val="none"/>
                <w:lang w:eastAsia="zh-CN"/>
              </w:rPr>
              <w:t>放心满意消费提升工程。</w:t>
            </w:r>
          </w:p>
        </w:tc>
      </w:tr>
    </w:tbl>
    <w:p>
      <w:pPr>
        <w:keepNext w:val="0"/>
        <w:keepLines w:val="0"/>
        <w:pageBreakBefore w:val="0"/>
        <w:kinsoku/>
        <w:wordWrap/>
        <w:overflowPunct/>
        <w:topLinePunct w:val="0"/>
        <w:autoSpaceDE/>
        <w:autoSpaceDN/>
        <w:bidi w:val="0"/>
        <w:spacing w:line="578" w:lineRule="exact"/>
        <w:jc w:val="center"/>
        <w:textAlignment w:val="auto"/>
        <w:rPr>
          <w:rFonts w:hint="eastAsia" w:ascii="黑体" w:hAnsi="黑体" w:eastAsia="黑体" w:cs="黑体"/>
          <w:color w:val="auto"/>
          <w:sz w:val="36"/>
          <w:szCs w:val="36"/>
          <w:highlight w:val="none"/>
          <w:lang w:eastAsia="zh-CN"/>
        </w:rPr>
      </w:pPr>
      <w:r>
        <w:rPr>
          <w:rFonts w:hint="eastAsia" w:ascii="黑体" w:hAnsi="黑体" w:eastAsia="黑体" w:cs="黑体"/>
          <w:color w:val="auto"/>
          <w:sz w:val="36"/>
          <w:szCs w:val="36"/>
          <w:highlight w:val="none"/>
        </w:rPr>
        <w:t>第</w:t>
      </w:r>
      <w:r>
        <w:rPr>
          <w:rFonts w:hint="eastAsia" w:ascii="黑体" w:hAnsi="黑体" w:eastAsia="黑体" w:cs="黑体"/>
          <w:color w:val="auto"/>
          <w:sz w:val="36"/>
          <w:szCs w:val="36"/>
          <w:highlight w:val="none"/>
          <w:lang w:eastAsia="zh-CN"/>
        </w:rPr>
        <w:t>六</w:t>
      </w:r>
      <w:r>
        <w:rPr>
          <w:rFonts w:hint="eastAsia" w:ascii="黑体" w:hAnsi="黑体" w:eastAsia="黑体" w:cs="黑体"/>
          <w:color w:val="auto"/>
          <w:sz w:val="36"/>
          <w:szCs w:val="36"/>
          <w:highlight w:val="none"/>
        </w:rPr>
        <w:t>章</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rPr>
        <w:t>深化质量强</w:t>
      </w:r>
      <w:r>
        <w:rPr>
          <w:rFonts w:hint="eastAsia" w:ascii="黑体" w:hAnsi="黑体" w:eastAsia="黑体" w:cs="黑体"/>
          <w:color w:val="auto"/>
          <w:sz w:val="36"/>
          <w:szCs w:val="36"/>
          <w:highlight w:val="none"/>
          <w:lang w:eastAsia="zh-CN"/>
        </w:rPr>
        <w:t>市</w:t>
      </w:r>
      <w:r>
        <w:rPr>
          <w:rFonts w:hint="eastAsia" w:ascii="黑体" w:hAnsi="黑体" w:eastAsia="黑体" w:cs="黑体"/>
          <w:color w:val="auto"/>
          <w:sz w:val="36"/>
          <w:szCs w:val="36"/>
          <w:highlight w:val="none"/>
        </w:rPr>
        <w:t>建设</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rPr>
        <w:t>推动</w:t>
      </w:r>
      <w:r>
        <w:rPr>
          <w:rFonts w:hint="eastAsia" w:ascii="黑体" w:hAnsi="黑体" w:eastAsia="黑体" w:cs="黑体"/>
          <w:color w:val="auto"/>
          <w:sz w:val="36"/>
          <w:szCs w:val="36"/>
          <w:highlight w:val="none"/>
          <w:lang w:eastAsia="zh-CN"/>
        </w:rPr>
        <w:t>淮北高质量发展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坚持供给侧结构性改革战略方向，深化质量强</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深入开展质量提升行动，激发企业追求高质量的内生动力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提高产品和服务的质量水平、质量层次和品牌影响力，提升供给体系对国内需求的适配性。</w:t>
      </w:r>
    </w:p>
    <w:p>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完善质量发展机制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完善“党委领导、政府主导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部门联合、企业主责、社会参与”的质量工作领导体制和“市场主体自治、行业自律、社会监督、政府监管”的质量共治机制，加强和改进政府质量工作考核，完善评价指标和考核制度，推动将质量安全和质量发展纳入</w:t>
      </w:r>
      <w:r>
        <w:rPr>
          <w:rFonts w:hint="eastAsia" w:ascii="仿宋_GB2312" w:hAnsi="仿宋_GB2312" w:eastAsia="仿宋_GB2312" w:cs="仿宋_GB2312"/>
          <w:color w:val="auto"/>
          <w:sz w:val="32"/>
          <w:szCs w:val="32"/>
          <w:highlight w:val="none"/>
          <w:lang w:eastAsia="zh-CN"/>
        </w:rPr>
        <w:t>各县区</w:t>
      </w:r>
      <w:r>
        <w:rPr>
          <w:rFonts w:hint="eastAsia" w:ascii="仿宋_GB2312" w:hAnsi="仿宋_GB2312" w:eastAsia="仿宋_GB2312" w:cs="仿宋_GB2312"/>
          <w:color w:val="auto"/>
          <w:sz w:val="32"/>
          <w:szCs w:val="32"/>
          <w:highlight w:val="none"/>
        </w:rPr>
        <w:t>人民政府绩效考核评价体系，考核结果作为领导班子和领导干部综合考核评价的内容。持续推进质量强</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（县、区）建设，形成全社会齐抓共管的良好氛围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优化</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政府质量奖评选制度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推动形成优质优价的政府采购机制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完善产品侵权责任制度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推进产品质量安全责任保险制度，保障质量安全事故受害者得到及时赔偿。完善质量安全风险预警评估机制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缺陷消费品召回管理机制</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楷体_GB2312" w:hAnsi="楷体_GB2312" w:eastAsia="楷体_GB2312" w:cs="楷体_GB2312"/>
          <w:b/>
          <w:bCs/>
          <w:color w:val="auto"/>
          <w:sz w:val="32"/>
          <w:szCs w:val="32"/>
          <w:highlight w:val="none"/>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深入开展质量提升行动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实施制造业质量提升工程</w:t>
      </w:r>
      <w:r>
        <w:rPr>
          <w:rFonts w:hint="eastAsia" w:ascii="仿宋_GB2312" w:hAnsi="仿宋_GB2312" w:eastAsia="仿宋_GB2312" w:cs="仿宋_GB2312"/>
          <w:color w:val="auto"/>
          <w:sz w:val="32"/>
          <w:szCs w:val="32"/>
          <w:highlight w:val="none"/>
          <w:lang w:eastAsia="zh-CN"/>
        </w:rPr>
        <w:t>，稳步推进陶铝和铝基高端金属材料、绿色食品和医药健康、高端装备制造等5个产业集群，智能制造装备、锂电池、电子元器件等10条产业链质量提升行动，</w:t>
      </w:r>
      <w:r>
        <w:rPr>
          <w:rFonts w:hint="eastAsia" w:ascii="仿宋_GB2312" w:hAnsi="仿宋_GB2312" w:eastAsia="仿宋_GB2312" w:cs="仿宋_GB2312"/>
          <w:color w:val="auto"/>
          <w:sz w:val="32"/>
          <w:szCs w:val="32"/>
          <w:highlight w:val="none"/>
        </w:rPr>
        <w:t>力争到 2025 年，我</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先进制造业产品可靠性达到或接近国际先进水平，满足国内外市场需求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实施服务业质量提升工程，围绕旅游、医疗、物流、养老、政务等重点领域，大力推进服务体系化、标准化、品牌化、标杆化和精细化建设。</w:t>
      </w:r>
      <w:r>
        <w:rPr>
          <w:rFonts w:hint="eastAsia" w:ascii="仿宋_GB2312" w:hAnsi="仿宋_GB2312" w:eastAsia="仿宋_GB2312" w:cs="仿宋_GB2312"/>
          <w:color w:val="auto"/>
          <w:sz w:val="32"/>
          <w:szCs w:val="32"/>
          <w:highlight w:val="none"/>
        </w:rPr>
        <w:t>力争到2025年，全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服务业质量水平明显提升，形成一批知名高端服务品牌，公共服务满意度居全</w:t>
      </w:r>
      <w:r>
        <w:rPr>
          <w:rFonts w:hint="eastAsia" w:ascii="仿宋_GB2312" w:hAnsi="仿宋_GB2312" w:eastAsia="仿宋_GB2312" w:cs="仿宋_GB2312"/>
          <w:color w:val="auto"/>
          <w:sz w:val="32"/>
          <w:szCs w:val="32"/>
          <w:highlight w:val="none"/>
          <w:lang w:eastAsia="zh-CN"/>
        </w:rPr>
        <w:t>省</w:t>
      </w:r>
      <w:r>
        <w:rPr>
          <w:rFonts w:hint="eastAsia" w:ascii="仿宋_GB2312" w:hAnsi="仿宋_GB2312" w:eastAsia="仿宋_GB2312" w:cs="仿宋_GB2312"/>
          <w:color w:val="auto"/>
          <w:sz w:val="32"/>
          <w:szCs w:val="32"/>
          <w:highlight w:val="none"/>
        </w:rPr>
        <w:t>领先水平</w:t>
      </w:r>
      <w:r>
        <w:rPr>
          <w:rFonts w:hint="eastAsia" w:ascii="仿宋_GB2312" w:hAnsi="仿宋_GB2312" w:eastAsia="仿宋_GB2312" w:cs="仿宋_GB2312"/>
          <w:color w:val="auto"/>
          <w:sz w:val="32"/>
          <w:szCs w:val="32"/>
          <w:highlight w:val="none"/>
          <w:lang w:val="en-US" w:eastAsia="zh-CN"/>
        </w:rPr>
        <w:t>。实施“一业一域一园一品 ”质</w:t>
      </w:r>
      <w:r>
        <w:rPr>
          <w:rFonts w:hint="eastAsia" w:ascii="仿宋_GB2312" w:hAnsi="仿宋_GB2312" w:eastAsia="仿宋_GB2312" w:cs="仿宋_GB2312"/>
          <w:color w:val="auto"/>
          <w:sz w:val="32"/>
          <w:szCs w:val="32"/>
          <w:highlight w:val="none"/>
        </w:rPr>
        <w:t>量提升工程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深入开展质量攻关行动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质量比对行动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中小微企业质量提升精准帮扶行动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实施质量素质提升工程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构建开放包容、科学规范、运行高效的多层次质量人才教育培养体系。深化企业首席质量官制度建设，到2025年力争实现全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规模以上企业首席质量官制度全覆盖。加强质量主题公园、质量科普基地、中小学生质量教育社会实践基地等载体建设，持续开展“质量月”宣传活动，营造人人关心质量、人人创造质量、人人享受质量的良好氛围。</w:t>
      </w:r>
    </w:p>
    <w:p>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楷体_GB2312" w:hAnsi="楷体_GB2312" w:eastAsia="楷体_GB2312" w:cs="楷体_GB2312"/>
          <w:b/>
          <w:bCs/>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培育质量品牌优势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重点围绕我</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主导产业和优势产业，完善和推行高端品牌标准体系、评价机制，推动</w:t>
      </w:r>
      <w:r>
        <w:rPr>
          <w:rFonts w:hint="eastAsia" w:ascii="仿宋_GB2312" w:hAnsi="仿宋_GB2312" w:eastAsia="仿宋_GB2312" w:cs="仿宋_GB2312"/>
          <w:color w:val="auto"/>
          <w:sz w:val="32"/>
          <w:szCs w:val="32"/>
          <w:highlight w:val="none"/>
          <w:lang w:eastAsia="zh-CN"/>
        </w:rPr>
        <w:t>淮北市</w:t>
      </w:r>
      <w:r>
        <w:rPr>
          <w:rFonts w:hint="eastAsia" w:ascii="仿宋_GB2312" w:hAnsi="仿宋_GB2312" w:eastAsia="仿宋_GB2312" w:cs="仿宋_GB2312"/>
          <w:color w:val="auto"/>
          <w:sz w:val="32"/>
          <w:szCs w:val="32"/>
          <w:highlight w:val="none"/>
        </w:rPr>
        <w:t>制造业和服务业高端化、品牌化。引导和鼓励重点行业的龙头企业、成长性强的中小企业积极争创中国质量奖、省政府质量奖</w:t>
      </w:r>
      <w:r>
        <w:rPr>
          <w:rFonts w:hint="eastAsia" w:ascii="仿宋_GB2312" w:hAnsi="仿宋_GB2312" w:eastAsia="仿宋_GB2312" w:cs="仿宋_GB2312"/>
          <w:color w:val="auto"/>
          <w:sz w:val="32"/>
          <w:szCs w:val="32"/>
          <w:highlight w:val="none"/>
          <w:lang w:eastAsia="zh-CN"/>
        </w:rPr>
        <w:t>、市政府质量奖、县（区）政府质量奖。</w:t>
      </w:r>
      <w:r>
        <w:rPr>
          <w:rFonts w:hint="eastAsia" w:ascii="仿宋_GB2312" w:hAnsi="仿宋_GB2312" w:eastAsia="仿宋_GB2312" w:cs="仿宋_GB2312"/>
          <w:color w:val="auto"/>
          <w:sz w:val="32"/>
          <w:szCs w:val="32"/>
          <w:highlight w:val="none"/>
        </w:rPr>
        <w:t>“十四五”期间力争培育中国质量奖、省政府质量奖</w:t>
      </w:r>
      <w:r>
        <w:rPr>
          <w:rFonts w:hint="eastAsia" w:ascii="仿宋_GB2312" w:hAnsi="仿宋_GB2312" w:eastAsia="仿宋_GB2312" w:cs="仿宋_GB2312"/>
          <w:color w:val="auto"/>
          <w:sz w:val="32"/>
          <w:szCs w:val="32"/>
          <w:highlight w:val="none"/>
          <w:lang w:eastAsia="zh-CN"/>
        </w:rPr>
        <w:t>各</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、市政府质量奖</w:t>
      </w:r>
      <w:r>
        <w:rPr>
          <w:rFonts w:hint="eastAsia" w:ascii="仿宋_GB2312" w:hAnsi="仿宋_GB2312" w:eastAsia="仿宋_GB2312" w:cs="仿宋_GB2312"/>
          <w:color w:val="auto"/>
          <w:sz w:val="32"/>
          <w:szCs w:val="32"/>
          <w:highlight w:val="none"/>
          <w:lang w:val="en-US" w:eastAsia="zh-CN"/>
        </w:rPr>
        <w:t>5个</w:t>
      </w:r>
      <w:r>
        <w:rPr>
          <w:rFonts w:hint="eastAsia" w:ascii="仿宋_GB2312" w:hAnsi="仿宋_GB2312" w:eastAsia="仿宋_GB2312" w:cs="仿宋_GB2312"/>
          <w:color w:val="auto"/>
          <w:sz w:val="32"/>
          <w:szCs w:val="32"/>
          <w:highlight w:val="none"/>
        </w:rPr>
        <w:t>。全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新增</w:t>
      </w:r>
      <w:r>
        <w:rPr>
          <w:rFonts w:hint="eastAsia" w:ascii="仿宋_GB2312" w:hAnsi="仿宋_GB2312" w:eastAsia="仿宋_GB2312" w:cs="仿宋_GB2312"/>
          <w:color w:val="auto"/>
          <w:sz w:val="32"/>
          <w:szCs w:val="32"/>
          <w:highlight w:val="none"/>
          <w:lang w:eastAsia="zh-CN"/>
        </w:rPr>
        <w:t>“皖美品牌”示范企业</w:t>
      </w:r>
      <w:r>
        <w:rPr>
          <w:rFonts w:hint="eastAsia" w:ascii="仿宋_GB2312" w:hAnsi="仿宋_GB2312" w:eastAsia="仿宋_GB2312" w:cs="仿宋_GB2312"/>
          <w:color w:val="auto"/>
          <w:sz w:val="32"/>
          <w:szCs w:val="32"/>
          <w:highlight w:val="none"/>
          <w:lang w:val="en-US" w:eastAsia="zh-CN"/>
        </w:rPr>
        <w:t>7家以上</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rPr>
        <w:t>强化计量基础支撑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认真贯彻国务院《计量发展规划（</w:t>
      </w:r>
      <w:r>
        <w:rPr>
          <w:rFonts w:hint="eastAsia" w:ascii="仿宋_GB2312" w:hAnsi="仿宋_GB2312" w:eastAsia="仿宋_GB2312" w:cs="仿宋_GB2312"/>
          <w:color w:val="auto"/>
          <w:sz w:val="32"/>
          <w:szCs w:val="32"/>
          <w:highlight w:val="none"/>
          <w:lang w:val="en-US" w:eastAsia="zh-CN"/>
        </w:rPr>
        <w:t>2021-2035年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积极应对国际单位制量子化变革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围绕我</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产业发展、</w:t>
      </w:r>
      <w:r>
        <w:rPr>
          <w:rFonts w:hint="eastAsia" w:ascii="仿宋_GB2312" w:hAnsi="仿宋_GB2312" w:eastAsia="仿宋_GB2312" w:cs="仿宋_GB2312"/>
          <w:color w:val="auto"/>
          <w:sz w:val="32"/>
          <w:szCs w:val="32"/>
          <w:highlight w:val="none"/>
          <w:lang w:eastAsia="zh-CN"/>
        </w:rPr>
        <w:t>节能</w:t>
      </w:r>
      <w:r>
        <w:rPr>
          <w:rFonts w:hint="eastAsia" w:ascii="仿宋_GB2312" w:hAnsi="仿宋_GB2312" w:eastAsia="仿宋_GB2312" w:cs="仿宋_GB2312"/>
          <w:color w:val="auto"/>
          <w:sz w:val="32"/>
          <w:szCs w:val="32"/>
          <w:highlight w:val="none"/>
        </w:rPr>
        <w:t>减排、循环经济、贸易公平等计量需求，加快建立新一代高准确度、高稳定性最高计量标准。在食品</w:t>
      </w:r>
      <w:r>
        <w:rPr>
          <w:rFonts w:hint="eastAsia" w:ascii="仿宋_GB2312" w:hAnsi="仿宋_GB2312" w:eastAsia="仿宋_GB2312" w:cs="仿宋_GB2312"/>
          <w:color w:val="auto"/>
          <w:sz w:val="32"/>
          <w:szCs w:val="32"/>
          <w:highlight w:val="none"/>
          <w:lang w:eastAsia="zh-CN"/>
        </w:rPr>
        <w:t>药品</w:t>
      </w:r>
      <w:r>
        <w:rPr>
          <w:rFonts w:hint="eastAsia" w:ascii="仿宋_GB2312" w:hAnsi="仿宋_GB2312" w:eastAsia="仿宋_GB2312" w:cs="仿宋_GB2312"/>
          <w:color w:val="auto"/>
          <w:sz w:val="32"/>
          <w:szCs w:val="32"/>
          <w:highlight w:val="none"/>
        </w:rPr>
        <w:t>安全、节能减排、环境保护、交通运输、水资源利用、先进制造等领域建立一批我</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经济社会发展急需的社会公用计量标准，“十四五”期间全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每年新建计量标准</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项以上，到2025年社会公用计量标准总数达到</w:t>
      </w:r>
      <w:r>
        <w:rPr>
          <w:rFonts w:hint="eastAsia" w:ascii="仿宋_GB2312" w:hAnsi="仿宋_GB2312" w:eastAsia="仿宋_GB2312" w:cs="仿宋_GB2312"/>
          <w:color w:val="auto"/>
          <w:sz w:val="32"/>
          <w:szCs w:val="32"/>
          <w:highlight w:val="none"/>
          <w:lang w:val="en-US" w:eastAsia="zh-CN"/>
        </w:rPr>
        <w:t>120</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。对涉及与民生相关的贸易结算、</w:t>
      </w:r>
      <w:r>
        <w:rPr>
          <w:rFonts w:hint="eastAsia" w:ascii="仿宋_GB2312" w:hAnsi="仿宋_GB2312" w:eastAsia="仿宋_GB2312" w:cs="仿宋_GB2312"/>
          <w:color w:val="auto"/>
          <w:sz w:val="32"/>
          <w:szCs w:val="32"/>
          <w:highlight w:val="none"/>
          <w:lang w:eastAsia="zh-CN"/>
        </w:rPr>
        <w:t>安全</w:t>
      </w:r>
      <w:r>
        <w:rPr>
          <w:rFonts w:hint="eastAsia" w:ascii="仿宋_GB2312" w:hAnsi="仿宋_GB2312" w:eastAsia="仿宋_GB2312" w:cs="仿宋_GB2312"/>
          <w:color w:val="auto"/>
          <w:sz w:val="32"/>
          <w:szCs w:val="32"/>
          <w:highlight w:val="none"/>
        </w:rPr>
        <w:t>防护、医疗卫生、环境监测、食品安全等重点领域，组织开展计量专项行动，强化重点监管。新培育诚信计量自我承诺示范单位</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家</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诚信计量自我承诺示范单位达到</w:t>
      </w:r>
      <w:r>
        <w:rPr>
          <w:rFonts w:hint="eastAsia" w:ascii="仿宋_GB2312" w:hAnsi="仿宋_GB2312" w:eastAsia="仿宋_GB2312" w:cs="仿宋_GB2312"/>
          <w:color w:val="auto"/>
          <w:sz w:val="32"/>
          <w:szCs w:val="32"/>
          <w:highlight w:val="none"/>
          <w:lang w:val="en-US" w:eastAsia="zh-CN"/>
        </w:rPr>
        <w:t>180</w:t>
      </w:r>
      <w:r>
        <w:rPr>
          <w:rFonts w:hint="eastAsia" w:ascii="仿宋_GB2312" w:hAnsi="仿宋_GB2312" w:eastAsia="仿宋_GB2312" w:cs="仿宋_GB2312"/>
          <w:color w:val="auto"/>
          <w:sz w:val="32"/>
          <w:szCs w:val="32"/>
          <w:highlight w:val="none"/>
        </w:rPr>
        <w:t>家</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firstLine="320" w:firstLineChars="1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五、</w:t>
      </w:r>
      <w:r>
        <w:rPr>
          <w:rFonts w:hint="eastAsia" w:ascii="黑体" w:hAnsi="黑体" w:eastAsia="黑体" w:cs="黑体"/>
          <w:b w:val="0"/>
          <w:bCs w:val="0"/>
          <w:color w:val="auto"/>
          <w:sz w:val="32"/>
          <w:szCs w:val="32"/>
          <w:highlight w:val="none"/>
        </w:rPr>
        <w:t>发挥标准引领作用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全面推进标准化发展，认真贯彻《国家标准化发展纲要》和省委、省政府《关于全面推进标准化发展的实施意见》，</w:t>
      </w:r>
      <w:r>
        <w:rPr>
          <w:rFonts w:hint="eastAsia" w:ascii="仿宋_GB2312" w:hAnsi="仿宋_GB2312" w:eastAsia="仿宋_GB2312" w:cs="仿宋_GB2312"/>
          <w:color w:val="auto"/>
          <w:sz w:val="32"/>
          <w:szCs w:val="32"/>
          <w:highlight w:val="none"/>
        </w:rPr>
        <w:t>完善</w:t>
      </w:r>
      <w:r>
        <w:rPr>
          <w:rFonts w:hint="eastAsia" w:ascii="仿宋_GB2312" w:hAnsi="仿宋_GB2312" w:eastAsia="仿宋_GB2312" w:cs="仿宋_GB2312"/>
          <w:color w:val="auto"/>
          <w:sz w:val="32"/>
          <w:szCs w:val="32"/>
          <w:highlight w:val="none"/>
          <w:lang w:eastAsia="zh-CN"/>
        </w:rPr>
        <w:t>淮北</w:t>
      </w:r>
      <w:r>
        <w:rPr>
          <w:rFonts w:hint="eastAsia" w:ascii="仿宋_GB2312" w:hAnsi="仿宋_GB2312" w:eastAsia="仿宋_GB2312" w:cs="仿宋_GB2312"/>
          <w:color w:val="auto"/>
          <w:sz w:val="32"/>
          <w:szCs w:val="32"/>
          <w:highlight w:val="none"/>
        </w:rPr>
        <w:t>高质量发展标准体系，加快制修订一批国内领先、国际先进的</w:t>
      </w:r>
      <w:r>
        <w:rPr>
          <w:rFonts w:hint="eastAsia" w:ascii="仿宋_GB2312" w:hAnsi="仿宋_GB2312" w:eastAsia="仿宋_GB2312" w:cs="仿宋_GB2312"/>
          <w:color w:val="auto"/>
          <w:sz w:val="32"/>
          <w:szCs w:val="32"/>
          <w:highlight w:val="none"/>
          <w:lang w:eastAsia="zh-CN"/>
        </w:rPr>
        <w:t>国际标准、国家标准、行业标准</w:t>
      </w:r>
      <w:r>
        <w:rPr>
          <w:rFonts w:hint="eastAsia" w:ascii="仿宋_GB2312" w:hAnsi="仿宋_GB2312" w:eastAsia="仿宋_GB2312" w:cs="仿宋_GB2312"/>
          <w:color w:val="auto"/>
          <w:sz w:val="32"/>
          <w:szCs w:val="32"/>
          <w:highlight w:val="none"/>
        </w:rPr>
        <w:t>，“十四五”期间，争取主导和参与制定国际标准</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项、国家</w:t>
      </w:r>
      <w:r>
        <w:rPr>
          <w:rFonts w:hint="eastAsia" w:ascii="仿宋_GB2312" w:hAnsi="仿宋_GB2312" w:eastAsia="仿宋_GB2312" w:cs="仿宋_GB2312"/>
          <w:color w:val="auto"/>
          <w:sz w:val="32"/>
          <w:szCs w:val="32"/>
          <w:highlight w:val="none"/>
          <w:lang w:eastAsia="zh-CN"/>
        </w:rPr>
        <w:t>（行业）</w:t>
      </w:r>
      <w:r>
        <w:rPr>
          <w:rFonts w:hint="eastAsia" w:ascii="仿宋_GB2312" w:hAnsi="仿宋_GB2312" w:eastAsia="仿宋_GB2312" w:cs="仿宋_GB2312"/>
          <w:color w:val="auto"/>
          <w:sz w:val="32"/>
          <w:szCs w:val="32"/>
          <w:highlight w:val="none"/>
        </w:rPr>
        <w:t>标准</w:t>
      </w:r>
      <w:r>
        <w:rPr>
          <w:rFonts w:hint="eastAsia" w:ascii="仿宋_GB2312" w:hAnsi="仿宋_GB2312" w:eastAsia="仿宋_GB2312" w:cs="仿宋_GB2312"/>
          <w:color w:val="auto"/>
          <w:sz w:val="32"/>
          <w:szCs w:val="32"/>
          <w:highlight w:val="none"/>
          <w:lang w:val="en-US" w:eastAsia="zh-CN"/>
        </w:rPr>
        <w:t>80</w:t>
      </w:r>
      <w:r>
        <w:rPr>
          <w:rFonts w:hint="eastAsia" w:ascii="仿宋_GB2312" w:hAnsi="仿宋_GB2312" w:eastAsia="仿宋_GB2312" w:cs="仿宋_GB2312"/>
          <w:color w:val="auto"/>
          <w:sz w:val="32"/>
          <w:szCs w:val="32"/>
          <w:highlight w:val="none"/>
        </w:rPr>
        <w:t>项以上、发布实施省地方标准</w:t>
      </w:r>
      <w:r>
        <w:rPr>
          <w:rFonts w:hint="eastAsia" w:ascii="仿宋_GB2312" w:hAnsi="仿宋_GB2312" w:eastAsia="仿宋_GB2312" w:cs="仿宋_GB2312"/>
          <w:color w:val="auto"/>
          <w:sz w:val="32"/>
          <w:szCs w:val="32"/>
          <w:highlight w:val="none"/>
          <w:lang w:val="en-US" w:eastAsia="zh-CN"/>
        </w:rPr>
        <w:t xml:space="preserve">30 </w:t>
      </w:r>
      <w:r>
        <w:rPr>
          <w:rFonts w:hint="eastAsia" w:ascii="仿宋_GB2312" w:hAnsi="仿宋_GB2312" w:eastAsia="仿宋_GB2312" w:cs="仿宋_GB2312"/>
          <w:color w:val="auto"/>
          <w:sz w:val="32"/>
          <w:szCs w:val="32"/>
          <w:highlight w:val="none"/>
        </w:rPr>
        <w:t>项以上、团体标准</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项以上，鼓励新自我声明公开企业标准</w:t>
      </w:r>
      <w:r>
        <w:rPr>
          <w:rFonts w:hint="eastAsia" w:ascii="仿宋_GB2312" w:hAnsi="仿宋_GB2312" w:eastAsia="仿宋_GB2312" w:cs="仿宋_GB2312"/>
          <w:color w:val="auto"/>
          <w:sz w:val="32"/>
          <w:szCs w:val="32"/>
          <w:highlight w:val="none"/>
          <w:lang w:val="en-US" w:eastAsia="zh-CN"/>
        </w:rPr>
        <w:t>1000</w:t>
      </w:r>
      <w:r>
        <w:rPr>
          <w:rFonts w:hint="eastAsia" w:ascii="仿宋_GB2312" w:hAnsi="仿宋_GB2312" w:eastAsia="仿宋_GB2312" w:cs="仿宋_GB2312"/>
          <w:color w:val="auto"/>
          <w:sz w:val="32"/>
          <w:szCs w:val="32"/>
          <w:highlight w:val="none"/>
        </w:rPr>
        <w:t>项以上，新增标准化专业技术资格人员</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人。强化先进制造业标准创新能力，在我</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优势产业领域加强关键技术标准</w:t>
      </w:r>
      <w:r>
        <w:rPr>
          <w:rFonts w:hint="eastAsia" w:ascii="仿宋_GB2312" w:hAnsi="仿宋_GB2312" w:eastAsia="仿宋_GB2312" w:cs="仿宋_GB2312"/>
          <w:color w:val="auto"/>
          <w:sz w:val="32"/>
          <w:szCs w:val="32"/>
          <w:highlight w:val="none"/>
          <w:lang w:eastAsia="zh-CN"/>
        </w:rPr>
        <w:t>研制</w:t>
      </w:r>
      <w:r>
        <w:rPr>
          <w:rFonts w:hint="eastAsia" w:ascii="仿宋_GB2312" w:hAnsi="仿宋_GB2312" w:eastAsia="仿宋_GB2312" w:cs="仿宋_GB2312"/>
          <w:color w:val="auto"/>
          <w:sz w:val="32"/>
          <w:szCs w:val="32"/>
          <w:highlight w:val="none"/>
        </w:rPr>
        <w:t>，促进产业链上下游产品技术标准对接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加强现代农业和现代服务业标准体系研究，新创建</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个以上国家级农业标准化试点、</w:t>
      </w:r>
      <w:r>
        <w:rPr>
          <w:rFonts w:hint="eastAsia" w:ascii="仿宋_GB2312" w:hAnsi="仿宋_GB2312" w:eastAsia="仿宋_GB2312" w:cs="仿宋_GB2312"/>
          <w:color w:val="auto"/>
          <w:sz w:val="32"/>
          <w:szCs w:val="32"/>
          <w:highlight w:val="none"/>
          <w:lang w:val="en-US" w:eastAsia="zh-CN"/>
        </w:rPr>
        <w:t xml:space="preserve">3 </w:t>
      </w:r>
      <w:r>
        <w:rPr>
          <w:rFonts w:hint="eastAsia" w:ascii="仿宋_GB2312" w:hAnsi="仿宋_GB2312" w:eastAsia="仿宋_GB2312" w:cs="仿宋_GB2312"/>
          <w:color w:val="auto"/>
          <w:sz w:val="32"/>
          <w:szCs w:val="32"/>
          <w:highlight w:val="none"/>
        </w:rPr>
        <w:t>个以上省级农业标准化试点，新创建</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个以上国家级服务业标准化试点、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个以上省级服务业标准化试点。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30" w:leftChars="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六、</w:t>
      </w:r>
      <w:r>
        <w:rPr>
          <w:rFonts w:hint="eastAsia" w:ascii="黑体" w:hAnsi="黑体" w:eastAsia="黑体" w:cs="黑体"/>
          <w:b w:val="0"/>
          <w:bCs w:val="0"/>
          <w:color w:val="auto"/>
          <w:sz w:val="32"/>
          <w:szCs w:val="32"/>
          <w:highlight w:val="none"/>
        </w:rPr>
        <w:t>加强质量认证体系建设</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完善质量认证体系，提升质量认证整体水平，规范质量认证市场秩序，增强质量认证有效性，全力助推经济高质量发展。到 2025 年，</w:t>
      </w:r>
      <w:r>
        <w:rPr>
          <w:rFonts w:hint="eastAsia" w:ascii="仿宋_GB2312" w:hAnsi="仿宋_GB2312" w:eastAsia="仿宋_GB2312" w:cs="仿宋_GB2312"/>
          <w:color w:val="auto"/>
          <w:sz w:val="32"/>
          <w:szCs w:val="32"/>
          <w:highlight w:val="none"/>
          <w:lang w:eastAsia="zh-CN"/>
        </w:rPr>
        <w:t>力争</w:t>
      </w:r>
      <w:r>
        <w:rPr>
          <w:rFonts w:hint="eastAsia" w:ascii="仿宋_GB2312" w:hAnsi="仿宋_GB2312" w:eastAsia="仿宋_GB2312" w:cs="仿宋_GB2312"/>
          <w:color w:val="auto"/>
          <w:sz w:val="32"/>
          <w:szCs w:val="32"/>
          <w:highlight w:val="none"/>
        </w:rPr>
        <w:t>各类质量认证证书超过</w:t>
      </w:r>
      <w:r>
        <w:rPr>
          <w:rFonts w:hint="eastAsia" w:ascii="仿宋_GB2312" w:hAnsi="仿宋_GB2312" w:eastAsia="仿宋_GB2312" w:cs="仿宋_GB2312"/>
          <w:color w:val="auto"/>
          <w:sz w:val="32"/>
          <w:szCs w:val="32"/>
          <w:highlight w:val="none"/>
          <w:lang w:val="en-US" w:eastAsia="zh-CN"/>
        </w:rPr>
        <w:t>1500</w:t>
      </w:r>
      <w:r>
        <w:rPr>
          <w:rFonts w:hint="eastAsia" w:ascii="仿宋_GB2312" w:hAnsi="仿宋_GB2312" w:eastAsia="仿宋_GB2312" w:cs="仿宋_GB2312"/>
          <w:color w:val="auto"/>
          <w:sz w:val="32"/>
          <w:szCs w:val="32"/>
          <w:highlight w:val="none"/>
        </w:rPr>
        <w:t>张。大力开展高端品质认证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在消费品、装备制造、服务业等领域推行智能家居、物联网产品、健康养老、教育服务等高端品质认证，以联盟认证的形式建立高端品质认证体系，增加优质产品和服务供给。大力推广有机产品认证</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绿色产品认证，提升</w:t>
      </w:r>
      <w:r>
        <w:rPr>
          <w:rFonts w:hint="eastAsia" w:ascii="仿宋_GB2312" w:hAnsi="仿宋_GB2312" w:eastAsia="仿宋_GB2312" w:cs="仿宋_GB2312"/>
          <w:color w:val="auto"/>
          <w:sz w:val="32"/>
          <w:szCs w:val="32"/>
          <w:highlight w:val="none"/>
          <w:lang w:eastAsia="zh-CN"/>
        </w:rPr>
        <w:t>产品</w:t>
      </w:r>
      <w:r>
        <w:rPr>
          <w:rFonts w:hint="eastAsia" w:ascii="仿宋_GB2312" w:hAnsi="仿宋_GB2312" w:eastAsia="仿宋_GB2312" w:cs="仿宋_GB2312"/>
          <w:color w:val="auto"/>
          <w:sz w:val="32"/>
          <w:szCs w:val="32"/>
          <w:highlight w:val="none"/>
        </w:rPr>
        <w:t>质量和竞争力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以健全“法律规范、行政监管、认可约束、行业自律、社会监督”五位一体的质量认证监管体系为重点，加大对认证机构、认证活动、获证组织的监管力度，积极推进信用分类分级监管，到 2025 年，实现我</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从业认证机构监管全覆盖。</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30" w:leftChars="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七、</w:t>
      </w:r>
      <w:r>
        <w:rPr>
          <w:rFonts w:hint="eastAsia" w:ascii="黑体" w:hAnsi="黑体" w:eastAsia="黑体" w:cs="黑体"/>
          <w:b w:val="0"/>
          <w:bCs w:val="0"/>
          <w:color w:val="auto"/>
          <w:sz w:val="32"/>
          <w:szCs w:val="32"/>
          <w:highlight w:val="none"/>
        </w:rPr>
        <w:t>加快检验检测体系建设</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紧贴我</w:t>
      </w:r>
      <w:r>
        <w:rPr>
          <w:rFonts w:hint="eastAsia" w:ascii="仿宋_GB2312" w:hAnsi="仿宋_GB2312" w:eastAsia="仿宋_GB2312" w:cs="仿宋_GB2312"/>
          <w:color w:val="auto"/>
          <w:sz w:val="32"/>
          <w:szCs w:val="32"/>
          <w:highlight w:val="none"/>
          <w:lang w:eastAsia="zh-CN"/>
        </w:rPr>
        <w:t>市产业</w:t>
      </w:r>
      <w:r>
        <w:rPr>
          <w:rFonts w:hint="eastAsia" w:ascii="仿宋_GB2312" w:hAnsi="仿宋_GB2312" w:eastAsia="仿宋_GB2312" w:cs="仿宋_GB2312"/>
          <w:color w:val="auto"/>
          <w:sz w:val="32"/>
          <w:szCs w:val="32"/>
          <w:highlight w:val="none"/>
        </w:rPr>
        <w:t>分布特点和发展需求，</w:t>
      </w:r>
      <w:r>
        <w:rPr>
          <w:rFonts w:hint="eastAsia" w:ascii="仿宋_GB2312" w:hAnsi="仿宋_GB2312" w:eastAsia="仿宋_GB2312" w:cs="仿宋_GB2312"/>
          <w:color w:val="auto"/>
          <w:sz w:val="32"/>
          <w:szCs w:val="32"/>
          <w:highlight w:val="none"/>
          <w:lang w:eastAsia="zh-CN"/>
        </w:rPr>
        <w:t>积极推进</w:t>
      </w:r>
      <w:r>
        <w:rPr>
          <w:rFonts w:hint="eastAsia" w:ascii="仿宋_GB2312" w:hAnsi="仿宋_GB2312" w:eastAsia="仿宋_GB2312" w:cs="仿宋_GB2312"/>
          <w:color w:val="auto"/>
          <w:sz w:val="32"/>
          <w:szCs w:val="32"/>
          <w:highlight w:val="none"/>
        </w:rPr>
        <w:t>国家铝基材料及制品</w:t>
      </w:r>
      <w:r>
        <w:rPr>
          <w:rFonts w:hint="eastAsia" w:ascii="仿宋_GB2312" w:hAnsi="仿宋_GB2312" w:eastAsia="仿宋_GB2312" w:cs="仿宋_GB2312"/>
          <w:color w:val="auto"/>
          <w:sz w:val="32"/>
          <w:szCs w:val="32"/>
          <w:highlight w:val="none"/>
          <w:lang w:eastAsia="zh-CN"/>
        </w:rPr>
        <w:t>质量监督检验中心建设，确保“十四五”期间</w:t>
      </w:r>
      <w:r>
        <w:rPr>
          <w:rFonts w:hint="eastAsia" w:ascii="仿宋_GB2312" w:hAnsi="仿宋_GB2312" w:eastAsia="仿宋_GB2312" w:cs="仿宋_GB2312"/>
          <w:color w:val="auto"/>
          <w:sz w:val="32"/>
          <w:szCs w:val="32"/>
          <w:highlight w:val="none"/>
          <w:lang w:val="en-US" w:eastAsia="zh-CN"/>
        </w:rPr>
        <w:t>投入使用。大力加强食品药品、产品质量、计量、特种设备等技术机构能力建设，</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eastAsia="zh-CN"/>
        </w:rPr>
        <w:t>国民经济高质量发展和</w:t>
      </w:r>
      <w:r>
        <w:rPr>
          <w:rFonts w:hint="eastAsia" w:ascii="仿宋_GB2312" w:hAnsi="仿宋_GB2312" w:eastAsia="仿宋_GB2312" w:cs="仿宋_GB2312"/>
          <w:color w:val="auto"/>
          <w:sz w:val="32"/>
          <w:szCs w:val="32"/>
          <w:highlight w:val="none"/>
        </w:rPr>
        <w:t>产业链稳链补链强链提供技术支撑服务。加强检验检测机构监管，</w:t>
      </w:r>
      <w:r>
        <w:rPr>
          <w:rFonts w:hint="eastAsia" w:ascii="仿宋_GB2312" w:hAnsi="仿宋_GB2312" w:eastAsia="仿宋_GB2312" w:cs="仿宋_GB2312"/>
          <w:color w:val="auto"/>
          <w:sz w:val="32"/>
          <w:szCs w:val="32"/>
          <w:highlight w:val="none"/>
          <w:lang w:eastAsia="zh-CN"/>
        </w:rPr>
        <w:t>积极组织参加上级部门及同行组织的</w:t>
      </w:r>
      <w:r>
        <w:rPr>
          <w:rFonts w:hint="eastAsia" w:ascii="仿宋_GB2312" w:hAnsi="仿宋_GB2312" w:eastAsia="仿宋_GB2312" w:cs="仿宋_GB2312"/>
          <w:color w:val="auto"/>
          <w:sz w:val="32"/>
          <w:szCs w:val="32"/>
          <w:highlight w:val="none"/>
        </w:rPr>
        <w:t>检验检测能力验证</w:t>
      </w:r>
      <w:r>
        <w:rPr>
          <w:rFonts w:hint="eastAsia" w:ascii="仿宋_GB2312" w:hAnsi="仿宋_GB2312" w:eastAsia="仿宋_GB2312" w:cs="仿宋_GB2312"/>
          <w:color w:val="auto"/>
          <w:sz w:val="32"/>
          <w:szCs w:val="32"/>
          <w:highlight w:val="none"/>
          <w:lang w:eastAsia="zh-CN"/>
        </w:rPr>
        <w:t>工作，提升检验检测</w:t>
      </w:r>
      <w:r>
        <w:rPr>
          <w:rFonts w:hint="eastAsia" w:ascii="仿宋_GB2312" w:hAnsi="仿宋_GB2312" w:eastAsia="仿宋_GB2312" w:cs="仿宋_GB2312"/>
          <w:color w:val="auto"/>
          <w:sz w:val="32"/>
          <w:szCs w:val="32"/>
          <w:highlight w:val="none"/>
        </w:rPr>
        <w:t>能力</w:t>
      </w:r>
      <w:r>
        <w:rPr>
          <w:rFonts w:hint="eastAsia" w:ascii="仿宋_GB2312" w:hAnsi="仿宋_GB2312" w:eastAsia="仿宋_GB2312" w:cs="仿宋_GB2312"/>
          <w:color w:val="auto"/>
          <w:sz w:val="32"/>
          <w:szCs w:val="32"/>
          <w:highlight w:val="none"/>
          <w:lang w:eastAsia="zh-CN"/>
        </w:rPr>
        <w:t>和水平。按照新修订的</w:t>
      </w:r>
      <w:r>
        <w:rPr>
          <w:rFonts w:hint="eastAsia" w:ascii="仿宋_GB2312" w:hAnsi="仿宋_GB2312" w:eastAsia="仿宋_GB2312" w:cs="仿宋_GB2312"/>
          <w:color w:val="auto"/>
          <w:sz w:val="32"/>
          <w:szCs w:val="32"/>
          <w:highlight w:val="none"/>
        </w:rPr>
        <w:t>《安徽省检验检测机构信用风险分类监管实施方案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进一步完善检验检测机构及从业人员信用档案，对检验检测机构实施动态评价和分级分类监管。</w:t>
      </w:r>
      <w:r>
        <w:rPr>
          <w:rFonts w:hint="eastAsia" w:ascii="仿宋_GB2312" w:hAnsi="仿宋_GB2312" w:eastAsia="仿宋_GB2312" w:cs="仿宋_GB2312"/>
          <w:color w:val="auto"/>
          <w:sz w:val="32"/>
          <w:szCs w:val="32"/>
          <w:highlight w:val="none"/>
          <w:lang w:eastAsia="zh-CN"/>
        </w:rPr>
        <w:t>发挥</w:t>
      </w:r>
      <w:r>
        <w:rPr>
          <w:rFonts w:hint="eastAsia" w:ascii="仿宋_GB2312" w:hAnsi="仿宋_GB2312" w:eastAsia="仿宋_GB2312" w:cs="仿宋_GB2312"/>
          <w:color w:val="auto"/>
          <w:sz w:val="32"/>
          <w:szCs w:val="32"/>
          <w:highlight w:val="none"/>
        </w:rPr>
        <w:t>“皖检通”平台功能，建成覆盖全省检验检测机构和监管部门的多元化数据采集、专业化分析、综合性利用的监管服务系统。</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30" w:leftChars="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八、</w:t>
      </w:r>
      <w:r>
        <w:rPr>
          <w:rFonts w:hint="eastAsia" w:ascii="黑体" w:hAnsi="黑体" w:eastAsia="黑体" w:cs="黑体"/>
          <w:b w:val="0"/>
          <w:bCs w:val="0"/>
          <w:color w:val="auto"/>
          <w:sz w:val="32"/>
          <w:szCs w:val="32"/>
          <w:highlight w:val="none"/>
        </w:rPr>
        <w:t>强化质量基础设施协同服务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先进制造业集聚区、特色示范园区等区域，鼓励社会组织、专业技术机构、行业龙头企业积极参与，有机整合质量管理、标准研制、计量校准、检测认证等技术资源和行政资源，为企业发展提供全溯源链、全生命周期、全产业链的</w:t>
      </w:r>
      <w:r>
        <w:rPr>
          <w:rFonts w:hint="eastAsia" w:ascii="仿宋_GB2312" w:hAnsi="仿宋_GB2312" w:eastAsia="仿宋_GB2312" w:cs="仿宋_GB2312"/>
          <w:color w:val="auto"/>
          <w:sz w:val="32"/>
          <w:szCs w:val="32"/>
          <w:highlight w:val="none"/>
          <w:lang w:eastAsia="zh-CN"/>
        </w:rPr>
        <w:t>质量基础设施</w:t>
      </w:r>
      <w:r>
        <w:rPr>
          <w:rFonts w:hint="eastAsia" w:ascii="仿宋_GB2312" w:hAnsi="仿宋_GB2312" w:eastAsia="仿宋_GB2312" w:cs="仿宋_GB2312"/>
          <w:color w:val="auto"/>
          <w:sz w:val="32"/>
          <w:szCs w:val="32"/>
          <w:highlight w:val="none"/>
        </w:rPr>
        <w:t>“一站式”服务。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30" w:leftChars="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九、</w:t>
      </w:r>
      <w:r>
        <w:rPr>
          <w:rFonts w:hint="eastAsia" w:ascii="黑体" w:hAnsi="黑体" w:eastAsia="黑体" w:cs="黑体"/>
          <w:b w:val="0"/>
          <w:bCs w:val="0"/>
          <w:color w:val="auto"/>
          <w:sz w:val="32"/>
          <w:szCs w:val="32"/>
          <w:highlight w:val="none"/>
        </w:rPr>
        <w:t>推动市场监管科技创新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仿宋_GB2312"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rPr>
        <w:t>围绕我</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高质量发展和市场监管需要，开展前瞻性、基础性、安全性、实用性、应急性科学研究和技术研发。“十四五”期间，组织实施</w:t>
      </w:r>
      <w:r>
        <w:rPr>
          <w:rFonts w:hint="eastAsia" w:ascii="仿宋_GB2312" w:hAnsi="仿宋_GB2312" w:eastAsia="仿宋_GB2312" w:cs="仿宋_GB2312"/>
          <w:color w:val="auto"/>
          <w:sz w:val="32"/>
          <w:szCs w:val="32"/>
          <w:highlight w:val="none"/>
          <w:lang w:eastAsia="zh-CN"/>
        </w:rPr>
        <w:t>国家、省、市</w:t>
      </w:r>
      <w:r>
        <w:rPr>
          <w:rFonts w:hint="eastAsia" w:ascii="仿宋_GB2312" w:hAnsi="仿宋_GB2312" w:eastAsia="仿宋_GB2312" w:cs="仿宋_GB2312"/>
          <w:color w:val="auto"/>
          <w:sz w:val="32"/>
          <w:szCs w:val="32"/>
          <w:highlight w:val="none"/>
        </w:rPr>
        <w:t>科技计划项目</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到</w:t>
      </w:r>
      <w:r>
        <w:rPr>
          <w:rFonts w:hint="eastAsia" w:ascii="仿宋_GB2312" w:hAnsi="仿宋_GB2312" w:eastAsia="仿宋_GB2312" w:cs="仿宋_GB2312"/>
          <w:color w:val="auto"/>
          <w:sz w:val="32"/>
          <w:szCs w:val="32"/>
          <w:highlight w:val="none"/>
          <w:lang w:val="en-US" w:eastAsia="zh-CN"/>
        </w:rPr>
        <w:t>2025年</w:t>
      </w:r>
      <w:r>
        <w:rPr>
          <w:rFonts w:hint="eastAsia" w:ascii="仿宋_GB2312" w:hAnsi="仿宋_GB2312" w:eastAsia="仿宋_GB2312" w:cs="仿宋_GB2312"/>
          <w:color w:val="auto"/>
          <w:sz w:val="32"/>
          <w:szCs w:val="32"/>
          <w:highlight w:val="none"/>
        </w:rPr>
        <w:t>，力争获批科学技术奖或国家市场监管科研成果奖。</w:t>
      </w:r>
      <w:r>
        <w:rPr>
          <w:rFonts w:hint="eastAsia" w:ascii="仿宋_GB2312" w:hAnsi="仿宋_GB2312" w:eastAsia="仿宋_GB2312" w:cs="仿宋_GB2312"/>
          <w:color w:val="auto"/>
          <w:sz w:val="32"/>
          <w:szCs w:val="32"/>
          <w:highlight w:val="none"/>
          <w:lang w:eastAsia="zh-CN"/>
        </w:rPr>
        <w:t>积极推进市场监管科普基地建设，</w:t>
      </w:r>
      <w:r>
        <w:rPr>
          <w:rFonts w:hint="eastAsia" w:ascii="仿宋_GB2312" w:hAnsi="仿宋_GB2312" w:eastAsia="仿宋_GB2312" w:cs="仿宋_GB2312"/>
          <w:color w:val="auto"/>
          <w:sz w:val="32"/>
          <w:szCs w:val="32"/>
          <w:highlight w:val="none"/>
        </w:rPr>
        <w:t>开展形式多样的科普宣传，促进提高公众科普素质</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spacing w:line="578" w:lineRule="exact"/>
        <w:jc w:val="both"/>
        <w:textAlignment w:val="auto"/>
        <w:rPr>
          <w:rFonts w:hint="eastAsia" w:ascii="黑体" w:hAnsi="黑体" w:eastAsia="黑体" w:cs="黑体"/>
          <w:color w:val="auto"/>
          <w:sz w:val="36"/>
          <w:szCs w:val="36"/>
          <w:highlight w:val="none"/>
          <w:lang w:val="en-US" w:eastAsia="zh-CN"/>
        </w:rPr>
      </w:pPr>
    </w:p>
    <w:p>
      <w:pPr>
        <w:keepNext w:val="0"/>
        <w:keepLines w:val="0"/>
        <w:pageBreakBefore w:val="0"/>
        <w:numPr>
          <w:ilvl w:val="0"/>
          <w:numId w:val="0"/>
        </w:numPr>
        <w:kinsoku/>
        <w:wordWrap/>
        <w:overflowPunct/>
        <w:topLinePunct w:val="0"/>
        <w:autoSpaceDE/>
        <w:autoSpaceDN/>
        <w:bidi w:val="0"/>
        <w:spacing w:line="578" w:lineRule="exact"/>
        <w:jc w:val="center"/>
        <w:textAlignment w:val="auto"/>
        <w:rPr>
          <w:rFonts w:hint="eastAsia" w:ascii="黑体" w:hAnsi="黑体" w:eastAsia="黑体" w:cs="黑体"/>
          <w:color w:val="auto"/>
          <w:sz w:val="36"/>
          <w:szCs w:val="36"/>
          <w:highlight w:val="none"/>
          <w:lang w:val="en-US" w:eastAsia="zh-CN"/>
        </w:rPr>
      </w:pPr>
    </w:p>
    <w:p>
      <w:pPr>
        <w:keepNext w:val="0"/>
        <w:keepLines w:val="0"/>
        <w:pageBreakBefore w:val="0"/>
        <w:numPr>
          <w:ilvl w:val="0"/>
          <w:numId w:val="0"/>
        </w:numPr>
        <w:kinsoku/>
        <w:wordWrap/>
        <w:overflowPunct/>
        <w:topLinePunct w:val="0"/>
        <w:autoSpaceDE/>
        <w:autoSpaceDN/>
        <w:bidi w:val="0"/>
        <w:spacing w:line="578" w:lineRule="exact"/>
        <w:jc w:val="center"/>
        <w:textAlignment w:val="auto"/>
        <w:rPr>
          <w:rFonts w:hint="eastAsia" w:ascii="黑体" w:hAnsi="黑体" w:eastAsia="黑体" w:cs="黑体"/>
          <w:color w:val="auto"/>
          <w:sz w:val="36"/>
          <w:szCs w:val="36"/>
          <w:highlight w:val="none"/>
          <w:lang w:val="en-US" w:eastAsia="zh-CN"/>
        </w:rPr>
      </w:pPr>
    </w:p>
    <w:p>
      <w:pPr>
        <w:keepNext w:val="0"/>
        <w:keepLines w:val="0"/>
        <w:pageBreakBefore w:val="0"/>
        <w:numPr>
          <w:ilvl w:val="0"/>
          <w:numId w:val="0"/>
        </w:numPr>
        <w:kinsoku/>
        <w:wordWrap/>
        <w:overflowPunct/>
        <w:topLinePunct w:val="0"/>
        <w:autoSpaceDE/>
        <w:autoSpaceDN/>
        <w:bidi w:val="0"/>
        <w:spacing w:line="578" w:lineRule="exact"/>
        <w:jc w:val="center"/>
        <w:textAlignment w:val="auto"/>
        <w:rPr>
          <w:rFonts w:hint="eastAsia" w:ascii="黑体" w:hAnsi="黑体" w:eastAsia="黑体" w:cs="黑体"/>
          <w:color w:val="auto"/>
          <w:sz w:val="36"/>
          <w:szCs w:val="36"/>
          <w:highlight w:val="none"/>
          <w:lang w:val="en-US" w:eastAsia="zh-CN"/>
        </w:rPr>
      </w:pPr>
    </w:p>
    <w:p>
      <w:pPr>
        <w:keepNext w:val="0"/>
        <w:keepLines w:val="0"/>
        <w:pageBreakBefore w:val="0"/>
        <w:numPr>
          <w:ilvl w:val="0"/>
          <w:numId w:val="0"/>
        </w:numPr>
        <w:kinsoku/>
        <w:wordWrap/>
        <w:overflowPunct/>
        <w:topLinePunct w:val="0"/>
        <w:autoSpaceDE/>
        <w:autoSpaceDN/>
        <w:bidi w:val="0"/>
        <w:spacing w:line="578" w:lineRule="exact"/>
        <w:jc w:val="center"/>
        <w:textAlignment w:val="auto"/>
        <w:rPr>
          <w:rFonts w:hint="eastAsia" w:ascii="黑体" w:hAnsi="黑体" w:eastAsia="黑体" w:cs="黑体"/>
          <w:color w:val="auto"/>
          <w:sz w:val="36"/>
          <w:szCs w:val="36"/>
          <w:highlight w:val="none"/>
          <w:lang w:val="en-US" w:eastAsia="zh-CN"/>
        </w:rPr>
      </w:pPr>
    </w:p>
    <w:p>
      <w:pPr>
        <w:keepNext w:val="0"/>
        <w:keepLines w:val="0"/>
        <w:pageBreakBefore w:val="0"/>
        <w:numPr>
          <w:ilvl w:val="0"/>
          <w:numId w:val="0"/>
        </w:numPr>
        <w:kinsoku/>
        <w:wordWrap/>
        <w:overflowPunct/>
        <w:topLinePunct w:val="0"/>
        <w:autoSpaceDE/>
        <w:autoSpaceDN/>
        <w:bidi w:val="0"/>
        <w:spacing w:line="578" w:lineRule="exact"/>
        <w:jc w:val="both"/>
        <w:textAlignment w:val="auto"/>
        <w:rPr>
          <w:rFonts w:hint="eastAsia" w:ascii="黑体" w:hAnsi="黑体" w:eastAsia="黑体" w:cs="黑体"/>
          <w:color w:val="auto"/>
          <w:sz w:val="36"/>
          <w:szCs w:val="36"/>
          <w:highlight w:val="none"/>
          <w:lang w:val="en-US" w:eastAsia="zh-CN"/>
        </w:rPr>
      </w:pPr>
    </w:p>
    <w:p>
      <w:pPr>
        <w:keepNext w:val="0"/>
        <w:keepLines w:val="0"/>
        <w:pageBreakBefore w:val="0"/>
        <w:numPr>
          <w:ilvl w:val="0"/>
          <w:numId w:val="0"/>
        </w:numPr>
        <w:kinsoku/>
        <w:wordWrap/>
        <w:overflowPunct/>
        <w:topLinePunct w:val="0"/>
        <w:autoSpaceDE/>
        <w:autoSpaceDN/>
        <w:bidi w:val="0"/>
        <w:spacing w:line="578" w:lineRule="exact"/>
        <w:jc w:val="center"/>
        <w:textAlignment w:val="auto"/>
        <w:rPr>
          <w:rFonts w:hint="eastAsia" w:ascii="黑体" w:hAnsi="黑体" w:eastAsia="黑体" w:cs="黑体"/>
          <w:color w:val="auto"/>
          <w:sz w:val="36"/>
          <w:szCs w:val="36"/>
          <w:highlight w:val="none"/>
          <w:lang w:eastAsia="zh-CN"/>
        </w:rPr>
      </w:pPr>
      <w:r>
        <w:rPr>
          <w:rFonts w:hint="eastAsia" w:ascii="黑体" w:hAnsi="黑体" w:eastAsia="黑体" w:cs="黑体"/>
          <w:color w:val="auto"/>
          <w:sz w:val="36"/>
          <w:szCs w:val="36"/>
          <w:highlight w:val="none"/>
          <w:lang w:val="en-US" w:eastAsia="zh-CN"/>
        </w:rPr>
        <w:t>第七章  加强</w:t>
      </w:r>
      <w:r>
        <w:rPr>
          <w:rFonts w:hint="eastAsia" w:ascii="黑体" w:hAnsi="黑体" w:eastAsia="黑体" w:cs="黑体"/>
          <w:color w:val="auto"/>
          <w:sz w:val="36"/>
          <w:szCs w:val="36"/>
          <w:highlight w:val="none"/>
        </w:rPr>
        <w:t>知识产权强</w:t>
      </w:r>
      <w:r>
        <w:rPr>
          <w:rFonts w:hint="eastAsia" w:ascii="黑体" w:hAnsi="黑体" w:eastAsia="黑体" w:cs="黑体"/>
          <w:color w:val="auto"/>
          <w:sz w:val="36"/>
          <w:szCs w:val="36"/>
          <w:highlight w:val="none"/>
          <w:lang w:eastAsia="zh-CN"/>
        </w:rPr>
        <w:t>市</w:t>
      </w:r>
      <w:r>
        <w:rPr>
          <w:rFonts w:hint="eastAsia" w:ascii="黑体" w:hAnsi="黑体" w:eastAsia="黑体" w:cs="黑体"/>
          <w:color w:val="auto"/>
          <w:sz w:val="36"/>
          <w:szCs w:val="36"/>
          <w:highlight w:val="none"/>
        </w:rPr>
        <w:t>建设</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rPr>
        <w:t>促进创新驱动发展</w:t>
      </w:r>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spacing w:line="578" w:lineRule="exact"/>
        <w:ind w:firstLine="640" w:firstLineChars="200"/>
        <w:jc w:val="both"/>
        <w:textAlignment w:val="auto"/>
        <w:rPr>
          <w:rFonts w:hint="eastAsia" w:eastAsia="仿宋_GB2312"/>
          <w:color w:val="auto"/>
          <w:highlight w:val="none"/>
          <w:lang w:eastAsia="zh-CN"/>
        </w:rPr>
      </w:pPr>
      <w:r>
        <w:rPr>
          <w:rFonts w:hint="eastAsia" w:ascii="仿宋_GB2312" w:hAnsi="仿宋_GB2312" w:eastAsia="仿宋_GB2312" w:cs="仿宋_GB2312"/>
          <w:color w:val="auto"/>
          <w:sz w:val="32"/>
          <w:szCs w:val="32"/>
          <w:highlight w:val="none"/>
        </w:rPr>
        <w:t>坚持创新在现代化建设全局中的核心地位，进一步强化知识产权创造、运用、保护、管理和服务，促进企业提升科技自主创新能力，支撑重点产业转型升级发展。到2025年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知识产权</w:t>
      </w:r>
      <w:r>
        <w:rPr>
          <w:rFonts w:hint="eastAsia" w:ascii="仿宋_GB2312" w:hAnsi="仿宋_GB2312" w:eastAsia="仿宋_GB2312" w:cs="仿宋_GB2312"/>
          <w:color w:val="auto"/>
          <w:sz w:val="32"/>
          <w:szCs w:val="32"/>
          <w:highlight w:val="none"/>
          <w:lang w:eastAsia="zh-CN"/>
        </w:rPr>
        <w:t>强国建设试点市</w:t>
      </w:r>
      <w:r>
        <w:rPr>
          <w:rFonts w:hint="eastAsia" w:ascii="仿宋_GB2312" w:hAnsi="仿宋_GB2312" w:eastAsia="仿宋_GB2312" w:cs="仿宋_GB2312"/>
          <w:color w:val="auto"/>
          <w:sz w:val="32"/>
          <w:szCs w:val="32"/>
          <w:highlight w:val="none"/>
        </w:rPr>
        <w:t>成效明显，知识产权支撑经济社会发展的能力显著增强</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楷体_GB2312" w:hAnsi="楷体_GB2312" w:eastAsia="楷体_GB2312" w:cs="楷体_GB2312"/>
          <w:b/>
          <w:bCs/>
          <w:color w:val="auto"/>
          <w:sz w:val="32"/>
          <w:szCs w:val="32"/>
          <w:highlight w:val="none"/>
        </w:rPr>
      </w:pP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促进知识产权高质量创造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Calibri" w:eastAsia="仿宋_GB2312" w:cs="仿宋_GB2312"/>
          <w:i w:val="0"/>
          <w:caps w:val="0"/>
          <w:color w:val="auto"/>
          <w:spacing w:val="0"/>
          <w:kern w:val="0"/>
          <w:sz w:val="32"/>
          <w:szCs w:val="32"/>
          <w:highlight w:val="none"/>
          <w:shd w:val="clear" w:fill="FFFFFF"/>
          <w:lang w:val="en-US" w:eastAsia="zh-CN" w:bidi="ar"/>
        </w:rPr>
        <w:t>高标准推进</w:t>
      </w:r>
      <w:r>
        <w:rPr>
          <w:rFonts w:hint="eastAsia" w:ascii="仿宋_GB2312" w:hAnsi="仿宋_GB2312" w:eastAsia="仿宋_GB2312" w:cs="仿宋_GB2312"/>
          <w:color w:val="auto"/>
          <w:sz w:val="32"/>
          <w:szCs w:val="32"/>
          <w:highlight w:val="none"/>
        </w:rPr>
        <w:t>知识产权</w:t>
      </w:r>
      <w:r>
        <w:rPr>
          <w:rFonts w:hint="eastAsia" w:ascii="仿宋_GB2312" w:hAnsi="仿宋_GB2312" w:eastAsia="仿宋_GB2312" w:cs="仿宋_GB2312"/>
          <w:color w:val="auto"/>
          <w:sz w:val="32"/>
          <w:szCs w:val="32"/>
          <w:highlight w:val="none"/>
          <w:lang w:eastAsia="zh-CN"/>
        </w:rPr>
        <w:t>强国建设试点市</w:t>
      </w:r>
      <w:r>
        <w:rPr>
          <w:rFonts w:hint="eastAsia" w:ascii="仿宋_GB2312" w:hAnsi="Calibri" w:eastAsia="仿宋_GB2312" w:cs="仿宋_GB2312"/>
          <w:i w:val="0"/>
          <w:caps w:val="0"/>
          <w:color w:val="auto"/>
          <w:spacing w:val="0"/>
          <w:kern w:val="0"/>
          <w:sz w:val="32"/>
          <w:szCs w:val="32"/>
          <w:highlight w:val="none"/>
          <w:shd w:val="clear" w:fill="FFFFFF"/>
          <w:lang w:val="en-US" w:eastAsia="zh-CN" w:bidi="ar"/>
        </w:rPr>
        <w:t>，打造知识产权高价值创造高地。强化高价值知识产权培育，围绕“五群十链”及淮北市重点产业实施一批高价值专利培育项目，全力推进知识产权创造提质增效。推进高价值专利培育工程、商标品牌建设工程、版权创新发展工程等，打造一批</w:t>
      </w:r>
      <w:r>
        <w:rPr>
          <w:rFonts w:hint="eastAsia" w:ascii="仿宋_GB2312" w:hAnsi="仿宋_GB2312" w:eastAsia="仿宋_GB2312" w:cs="仿宋_GB2312"/>
          <w:color w:val="auto"/>
          <w:sz w:val="32"/>
          <w:szCs w:val="32"/>
          <w:highlight w:val="none"/>
        </w:rPr>
        <w:t>在国内外具有广泛影响的知名品牌。实施知识产权“走出去”工程，打造对外“知识产权综合服务平台”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帮助企业实施前瞻性知识产权海外布局。争取到 2025 年，每万人口拥有高价值发明专利数达到</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楷体_GB2312" w:hAnsi="楷体_GB2312" w:eastAsia="楷体_GB2312" w:cs="楷体_GB2312"/>
          <w:b/>
          <w:bCs/>
          <w:color w:val="auto"/>
          <w:sz w:val="32"/>
          <w:szCs w:val="32"/>
          <w:highlight w:val="none"/>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强化知识产权全链条保护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贯彻落实</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关于强化知识产权保护的实施方案</w:t>
      </w:r>
      <w:r>
        <w:rPr>
          <w:rFonts w:hint="eastAsia" w:ascii="仿宋_GB2312" w:hAnsi="仿宋_GB2312" w:eastAsia="仿宋_GB2312" w:cs="仿宋_GB2312"/>
          <w:color w:val="auto"/>
          <w:sz w:val="32"/>
          <w:szCs w:val="32"/>
          <w:highlight w:val="none"/>
        </w:rPr>
        <w:t>》，强化知识产权全链条保护。健全跨部门、跨区域行政执法协作机制，完善行刑案件查办衔接机制。健全多元化纠纷解决机制，推动知识产权纠纷仲裁调解、维权援助等机构更好发挥纠纷化解功能，推动行业协会、产业联盟等建立知识产权保护自律机制。</w:t>
      </w:r>
      <w:r>
        <w:rPr>
          <w:rFonts w:hint="eastAsia" w:ascii="仿宋_GB2312" w:hAnsi="仿宋_GB2312" w:eastAsia="仿宋_GB2312" w:cs="仿宋_GB2312"/>
          <w:color w:val="auto"/>
          <w:sz w:val="32"/>
          <w:szCs w:val="32"/>
          <w:highlight w:val="none"/>
          <w:lang w:eastAsia="zh-CN"/>
        </w:rPr>
        <w:t>推进地理标志保护工程，知识产权“一件事”集成改革工程，</w:t>
      </w:r>
      <w:r>
        <w:rPr>
          <w:rFonts w:hint="eastAsia" w:ascii="仿宋_GB2312" w:hAnsi="仿宋_GB2312" w:eastAsia="仿宋_GB2312" w:cs="仿宋_GB2312"/>
          <w:color w:val="auto"/>
          <w:sz w:val="32"/>
          <w:szCs w:val="32"/>
          <w:highlight w:val="none"/>
        </w:rPr>
        <w:t>支持优势产业集聚区建设知识产权快速维权中心。加强知识产权保护工作队伍建设，不断完善知识产权执法专家库，有效提供智力支撑。重点针对群众反映强烈、社会舆论关注、侵权假冒多发的电商、展会、驰名商标、地理标志等领域，深入开展知识产权执法专项行动。加强对非正常专利申请和恶意注册商标行为的信用监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推动电商平台侵权纠纷快速处置。</w:t>
      </w:r>
    </w:p>
    <w:p>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提升知识产权运用能力</w:t>
      </w:r>
    </w:p>
    <w:p>
      <w:pPr>
        <w:keepNext w:val="0"/>
        <w:keepLines w:val="0"/>
        <w:pageBreakBefore w:val="0"/>
        <w:kinsoku/>
        <w:wordWrap/>
        <w:overflowPunct/>
        <w:topLinePunct w:val="0"/>
        <w:autoSpaceDE/>
        <w:autoSpaceDN/>
        <w:bidi w:val="0"/>
        <w:spacing w:line="578"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促进“互联网+”、区块链、大数据等技术在知识产权运营领域的转化运用，</w:t>
      </w:r>
      <w:r>
        <w:rPr>
          <w:rFonts w:hint="eastAsia" w:ascii="仿宋_GB2312" w:hAnsi="仿宋_GB2312" w:eastAsia="仿宋_GB2312" w:cs="仿宋_GB2312"/>
          <w:color w:val="auto"/>
          <w:sz w:val="32"/>
          <w:szCs w:val="32"/>
          <w:highlight w:val="none"/>
          <w:lang w:eastAsia="zh-CN"/>
        </w:rPr>
        <w:t>加强专利导航基地建设，实施专利导航工程，中小企业知识产权战略推进工程和地理标志运用促进工程，</w:t>
      </w:r>
      <w:r>
        <w:rPr>
          <w:rFonts w:hint="eastAsia" w:ascii="仿宋_GB2312" w:hAnsi="仿宋_GB2312" w:eastAsia="仿宋_GB2312" w:cs="仿宋_GB2312"/>
          <w:color w:val="auto"/>
          <w:sz w:val="32"/>
          <w:szCs w:val="32"/>
          <w:highlight w:val="none"/>
          <w:lang w:val="en-US" w:eastAsia="zh-CN"/>
        </w:rPr>
        <w:t>推动在我市</w:t>
      </w:r>
      <w:r>
        <w:rPr>
          <w:rFonts w:hint="eastAsia" w:ascii="仿宋_GB2312" w:hAnsi="仿宋_GB2312" w:eastAsia="仿宋_GB2312" w:cs="仿宋_GB2312"/>
          <w:color w:val="auto"/>
          <w:sz w:val="32"/>
          <w:szCs w:val="32"/>
          <w:highlight w:val="none"/>
        </w:rPr>
        <w:t>建设产业知识产权运营中心，推动高校院所建立完善知识产权管理机构。鼓励市场化知识产权运营机构发展。</w:t>
      </w:r>
      <w:r>
        <w:rPr>
          <w:rFonts w:hint="eastAsia" w:ascii="仿宋_GB2312" w:hAnsi="仿宋_GB2312" w:eastAsia="仿宋_GB2312" w:cs="仿宋_GB2312"/>
          <w:color w:val="auto"/>
          <w:sz w:val="32"/>
          <w:szCs w:val="32"/>
          <w:highlight w:val="none"/>
          <w:lang w:eastAsia="zh-CN"/>
        </w:rPr>
        <w:t>推动知识产权金融创新，支持银行与知识产权产业园区开展战略性合作，探索建立“贷款+保险保障+财政风险补偿”的质押融资新模式，推动知识产权质押融资扩面增容，</w:t>
      </w:r>
      <w:r>
        <w:rPr>
          <w:rFonts w:hint="eastAsia" w:ascii="仿宋_GB2312" w:hAnsi="仿宋_GB2312" w:eastAsia="仿宋_GB2312" w:cs="仿宋_GB2312"/>
          <w:color w:val="auto"/>
          <w:sz w:val="32"/>
          <w:szCs w:val="32"/>
          <w:highlight w:val="none"/>
        </w:rPr>
        <w:t>争取到 2025 年，</w:t>
      </w:r>
      <w:r>
        <w:rPr>
          <w:rFonts w:hint="eastAsia" w:ascii="仿宋_GB2312" w:hAnsi="仿宋_GB2312" w:eastAsia="仿宋_GB2312" w:cs="仿宋_GB2312"/>
          <w:color w:val="auto"/>
          <w:sz w:val="32"/>
          <w:szCs w:val="32"/>
          <w:highlight w:val="none"/>
          <w:lang w:eastAsia="zh-CN"/>
        </w:rPr>
        <w:t>知识产权质押融资金额达到8亿元。</w:t>
      </w:r>
    </w:p>
    <w:p>
      <w:pPr>
        <w:keepNext w:val="0"/>
        <w:keepLines w:val="0"/>
        <w:pageBreakBefore w:val="0"/>
        <w:numPr>
          <w:ilvl w:val="0"/>
          <w:numId w:val="1"/>
        </w:numPr>
        <w:kinsoku/>
        <w:wordWrap/>
        <w:overflowPunct/>
        <w:topLinePunct w:val="0"/>
        <w:autoSpaceDE/>
        <w:autoSpaceDN/>
        <w:bidi w:val="0"/>
        <w:spacing w:line="578" w:lineRule="exact"/>
        <w:ind w:left="0" w:leftChars="0" w:firstLine="640" w:firstLineChars="200"/>
        <w:jc w:val="left"/>
        <w:textAlignment w:val="auto"/>
        <w:rPr>
          <w:rFonts w:hint="eastAsia" w:ascii="黑体" w:hAnsi="黑体" w:eastAsia="黑体" w:cs="黑体"/>
          <w:b w:val="0"/>
          <w:bCs/>
          <w:i w:val="0"/>
          <w:caps w:val="0"/>
          <w:color w:val="auto"/>
          <w:spacing w:val="0"/>
          <w:kern w:val="0"/>
          <w:sz w:val="32"/>
          <w:szCs w:val="32"/>
          <w:highlight w:val="none"/>
          <w:shd w:val="clear" w:fill="FFFFFF"/>
          <w:lang w:val="en-US" w:eastAsia="zh-CN" w:bidi="ar"/>
        </w:rPr>
      </w:pPr>
      <w:r>
        <w:rPr>
          <w:rFonts w:hint="eastAsia" w:ascii="黑体" w:hAnsi="黑体" w:eastAsia="黑体" w:cs="黑体"/>
          <w:b w:val="0"/>
          <w:bCs/>
          <w:i w:val="0"/>
          <w:caps w:val="0"/>
          <w:color w:val="auto"/>
          <w:spacing w:val="0"/>
          <w:kern w:val="0"/>
          <w:sz w:val="32"/>
          <w:szCs w:val="32"/>
          <w:highlight w:val="none"/>
          <w:shd w:val="clear" w:fill="FFFFFF"/>
          <w:lang w:val="en-US" w:eastAsia="zh-CN" w:bidi="ar"/>
        </w:rPr>
        <w:t>提升知识产权综合服务能力</w:t>
      </w:r>
    </w:p>
    <w:p>
      <w:pPr>
        <w:keepNext w:val="0"/>
        <w:keepLines w:val="0"/>
        <w:pageBreakBefore w:val="0"/>
        <w:numPr>
          <w:ilvl w:val="0"/>
          <w:numId w:val="0"/>
        </w:numPr>
        <w:kinsoku/>
        <w:wordWrap/>
        <w:overflowPunct/>
        <w:topLinePunct w:val="0"/>
        <w:autoSpaceDE/>
        <w:autoSpaceDN/>
        <w:bidi w:val="0"/>
        <w:spacing w:line="578"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搭建“一站式”知识产权公共服</w:t>
      </w:r>
      <w:r>
        <w:rPr>
          <w:rFonts w:hint="eastAsia" w:ascii="仿宋_GB2312" w:hAnsi="仿宋_GB2312" w:eastAsia="仿宋_GB2312" w:cs="仿宋_GB2312"/>
          <w:color w:val="auto"/>
          <w:sz w:val="32"/>
          <w:szCs w:val="32"/>
          <w:highlight w:val="none"/>
        </w:rPr>
        <w:t>务平台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面向公众提供一站式知识产权信息查询</w:t>
      </w:r>
      <w:r>
        <w:rPr>
          <w:rFonts w:hint="eastAsia" w:ascii="仿宋_GB2312" w:hAnsi="仿宋_GB2312" w:eastAsia="仿宋_GB2312" w:cs="仿宋_GB2312"/>
          <w:color w:val="auto"/>
          <w:sz w:val="32"/>
          <w:szCs w:val="32"/>
          <w:highlight w:val="none"/>
          <w:lang w:eastAsia="zh-CN"/>
        </w:rPr>
        <w:t>。实施知识产权公共服务工程，</w:t>
      </w:r>
      <w:r>
        <w:rPr>
          <w:rFonts w:hint="eastAsia" w:ascii="仿宋_GB2312" w:hAnsi="仿宋_GB2312" w:eastAsia="仿宋_GB2312" w:cs="仿宋_GB2312"/>
          <w:color w:val="auto"/>
          <w:sz w:val="32"/>
          <w:szCs w:val="32"/>
          <w:highlight w:val="none"/>
        </w:rPr>
        <w:t>支持有条件的县（区）建立知识产权信息服务机构，鼓励有实力的社会机构提供知识产权公共服务。聚焦知识产权信息服务网点建设，完善服务网络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强化省-市-县-园区多级联动，构建知识产权公共服务网络。引导高校、科研院所、行业组织等机构提供基础性、公益性知识产权信息服务。</w:t>
      </w:r>
      <w:r>
        <w:rPr>
          <w:rFonts w:hint="eastAsia" w:ascii="仿宋_GB2312" w:hAnsi="仿宋_GB2312" w:eastAsia="仿宋_GB2312" w:cs="仿宋_GB2312"/>
          <w:color w:val="auto"/>
          <w:sz w:val="32"/>
          <w:szCs w:val="32"/>
          <w:highlight w:val="none"/>
          <w:lang w:eastAsia="zh-CN"/>
        </w:rPr>
        <w:t>开展知识产权大数据分析，</w:t>
      </w:r>
      <w:r>
        <w:rPr>
          <w:rFonts w:hint="eastAsia" w:ascii="仿宋_GB2312" w:hAnsi="仿宋_GB2312" w:eastAsia="仿宋_GB2312" w:cs="仿宋_GB2312"/>
          <w:color w:val="auto"/>
          <w:sz w:val="32"/>
          <w:szCs w:val="32"/>
          <w:highlight w:val="none"/>
        </w:rPr>
        <w:t>围绕我</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重点产业和专利密集型产业开展数据分类，建设特色专利数据库，绘制产业“专利地图”，提升数据供给能力。加大政府购买知识产权公共服务的力度，扩大购买范围，加强购买服务绩效评价。构建专利密集型产业统计指标和监测体系，精准引导社会资源投向，推动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经济提质增效。</w:t>
      </w:r>
    </w:p>
    <w:p>
      <w:pPr>
        <w:pStyle w:val="2"/>
        <w:keepNext w:val="0"/>
        <w:keepLines w:val="0"/>
        <w:pageBreakBefore w:val="0"/>
        <w:kinsoku/>
        <w:wordWrap/>
        <w:overflowPunct/>
        <w:topLinePunct w:val="0"/>
        <w:autoSpaceDE/>
        <w:autoSpaceDN/>
        <w:bidi w:val="0"/>
        <w:spacing w:line="578" w:lineRule="exact"/>
        <w:textAlignment w:val="auto"/>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黑体" w:hAnsi="黑体" w:eastAsia="黑体" w:cs="黑体"/>
          <w:color w:val="auto"/>
          <w:sz w:val="32"/>
          <w:szCs w:val="32"/>
          <w:highlight w:val="none"/>
          <w:lang w:eastAsia="zh-CN"/>
        </w:rPr>
      </w:pPr>
    </w:p>
    <w:p>
      <w:pPr>
        <w:pStyle w:val="2"/>
        <w:rPr>
          <w:rFonts w:hint="eastAsia" w:ascii="黑体" w:hAnsi="黑体" w:eastAsia="黑体" w:cs="黑体"/>
          <w:color w:val="auto"/>
          <w:sz w:val="32"/>
          <w:szCs w:val="32"/>
          <w:highlight w:val="none"/>
          <w:lang w:eastAsia="zh-CN"/>
        </w:rPr>
      </w:pPr>
    </w:p>
    <w:p>
      <w:pPr>
        <w:rPr>
          <w:rFonts w:hint="eastAsia" w:ascii="黑体" w:hAnsi="黑体" w:eastAsia="黑体" w:cs="黑体"/>
          <w:color w:val="auto"/>
          <w:sz w:val="32"/>
          <w:szCs w:val="32"/>
          <w:highlight w:val="none"/>
          <w:lang w:eastAsia="zh-CN"/>
        </w:rPr>
      </w:pPr>
    </w:p>
    <w:p>
      <w:pPr>
        <w:pStyle w:val="2"/>
        <w:rPr>
          <w:rFonts w:hint="eastAsia" w:ascii="黑体" w:hAnsi="黑体" w:eastAsia="黑体" w:cs="黑体"/>
          <w:color w:val="auto"/>
          <w:sz w:val="32"/>
          <w:szCs w:val="32"/>
          <w:highlight w:val="none"/>
          <w:lang w:eastAsia="zh-CN"/>
        </w:rPr>
      </w:pPr>
    </w:p>
    <w:p>
      <w:pPr>
        <w:rPr>
          <w:rFonts w:hint="eastAsia" w:ascii="黑体" w:hAnsi="黑体" w:eastAsia="黑体" w:cs="黑体"/>
          <w:color w:val="auto"/>
          <w:sz w:val="32"/>
          <w:szCs w:val="32"/>
          <w:highlight w:val="none"/>
          <w:lang w:eastAsia="zh-CN"/>
        </w:rPr>
      </w:pPr>
    </w:p>
    <w:p>
      <w:pPr>
        <w:pStyle w:val="2"/>
        <w:rPr>
          <w:rFonts w:hint="eastAsia" w:ascii="黑体" w:hAnsi="黑体" w:eastAsia="黑体" w:cs="黑体"/>
          <w:color w:val="auto"/>
          <w:sz w:val="32"/>
          <w:szCs w:val="32"/>
          <w:highlight w:val="none"/>
          <w:lang w:eastAsia="zh-CN"/>
        </w:rPr>
      </w:pPr>
    </w:p>
    <w:p>
      <w:pPr>
        <w:rPr>
          <w:rFonts w:hint="eastAsia" w:ascii="黑体" w:hAnsi="黑体" w:eastAsia="黑体" w:cs="黑体"/>
          <w:color w:val="auto"/>
          <w:sz w:val="32"/>
          <w:szCs w:val="32"/>
          <w:highlight w:val="none"/>
          <w:lang w:eastAsia="zh-CN"/>
        </w:rPr>
      </w:pPr>
    </w:p>
    <w:p>
      <w:pPr>
        <w:pStyle w:val="2"/>
        <w:rPr>
          <w:rFonts w:hint="eastAsia" w:ascii="黑体" w:hAnsi="黑体" w:eastAsia="黑体" w:cs="黑体"/>
          <w:color w:val="auto"/>
          <w:sz w:val="32"/>
          <w:szCs w:val="32"/>
          <w:highlight w:val="none"/>
          <w:lang w:eastAsia="zh-CN"/>
        </w:rPr>
      </w:pPr>
    </w:p>
    <w:p>
      <w:pPr>
        <w:rPr>
          <w:rFonts w:hint="eastAsia" w:ascii="黑体" w:hAnsi="黑体" w:eastAsia="黑体" w:cs="黑体"/>
          <w:color w:val="auto"/>
          <w:sz w:val="32"/>
          <w:szCs w:val="32"/>
          <w:highlight w:val="none"/>
          <w:lang w:eastAsia="zh-CN"/>
        </w:rPr>
      </w:pPr>
    </w:p>
    <w:p>
      <w:pPr>
        <w:pStyle w:val="2"/>
        <w:rPr>
          <w:rFonts w:hint="eastAsia" w:ascii="黑体" w:hAnsi="黑体" w:eastAsia="黑体" w:cs="黑体"/>
          <w:color w:val="auto"/>
          <w:sz w:val="32"/>
          <w:szCs w:val="32"/>
          <w:highlight w:val="none"/>
          <w:lang w:eastAsia="zh-CN"/>
        </w:rPr>
      </w:pPr>
    </w:p>
    <w:p>
      <w:pPr>
        <w:rPr>
          <w:rFonts w:hint="eastAsia" w:ascii="黑体" w:hAnsi="黑体" w:eastAsia="黑体" w:cs="黑体"/>
          <w:color w:val="auto"/>
          <w:sz w:val="32"/>
          <w:szCs w:val="32"/>
          <w:highlight w:val="none"/>
          <w:lang w:eastAsia="zh-CN"/>
        </w:rPr>
      </w:pPr>
    </w:p>
    <w:p>
      <w:pPr>
        <w:pStyle w:val="2"/>
        <w:rPr>
          <w:rFonts w:hint="eastAsia" w:ascii="黑体" w:hAnsi="黑体" w:eastAsia="黑体" w:cs="黑体"/>
          <w:color w:val="auto"/>
          <w:sz w:val="32"/>
          <w:szCs w:val="32"/>
          <w:highlight w:val="none"/>
          <w:lang w:eastAsia="zh-CN"/>
        </w:rPr>
      </w:pPr>
    </w:p>
    <w:p>
      <w:pPr>
        <w:rPr>
          <w:rFonts w:hint="eastAsia"/>
          <w:lang w:eastAsia="zh-CN"/>
        </w:rPr>
      </w:pPr>
    </w:p>
    <w:p>
      <w:pPr>
        <w:pStyle w:val="2"/>
        <w:rPr>
          <w:rFonts w:hint="eastAsia" w:ascii="黑体" w:hAnsi="黑体" w:eastAsia="黑体" w:cs="黑体"/>
          <w:color w:val="auto"/>
          <w:sz w:val="32"/>
          <w:szCs w:val="32"/>
          <w:highlight w:val="none"/>
          <w:lang w:eastAsia="zh-CN"/>
        </w:rPr>
      </w:pPr>
    </w:p>
    <w:p>
      <w:pPr>
        <w:rPr>
          <w:rFonts w:hint="eastAsia"/>
          <w:color w:val="auto"/>
          <w:highlight w:val="none"/>
          <w:lang w:eastAsia="zh-CN"/>
        </w:rPr>
      </w:pPr>
    </w:p>
    <w:p>
      <w:pPr>
        <w:rPr>
          <w:rFonts w:hint="eastAsia"/>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lang w:eastAsia="zh-CN"/>
        </w:rPr>
        <w:t>第八章</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rPr>
        <w:t>严守市场安全底线</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rPr>
        <w:t>促进平安</w:t>
      </w:r>
      <w:r>
        <w:rPr>
          <w:rFonts w:hint="eastAsia" w:ascii="黑体" w:hAnsi="黑体" w:eastAsia="黑体" w:cs="黑体"/>
          <w:color w:val="auto"/>
          <w:sz w:val="36"/>
          <w:szCs w:val="36"/>
          <w:highlight w:val="none"/>
          <w:lang w:eastAsia="zh-CN"/>
        </w:rPr>
        <w:t>淮北</w:t>
      </w:r>
      <w:r>
        <w:rPr>
          <w:rFonts w:hint="eastAsia" w:ascii="黑体" w:hAnsi="黑体" w:eastAsia="黑体" w:cs="黑体"/>
          <w:color w:val="auto"/>
          <w:sz w:val="36"/>
          <w:szCs w:val="36"/>
          <w:highlight w:val="none"/>
        </w:rPr>
        <w:t>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坚持将防风险保安全作为市场监管首要职责，全面加强食品、药品、特种设备和重点工业</w:t>
      </w:r>
      <w:r>
        <w:rPr>
          <w:rFonts w:hint="eastAsia" w:ascii="仿宋_GB2312" w:hAnsi="仿宋_GB2312" w:eastAsia="仿宋_GB2312" w:cs="仿宋_GB2312"/>
          <w:color w:val="auto"/>
          <w:sz w:val="32"/>
          <w:szCs w:val="32"/>
          <w:highlight w:val="none"/>
          <w:lang w:eastAsia="zh-CN"/>
        </w:rPr>
        <w:t>产品</w:t>
      </w:r>
      <w:r>
        <w:rPr>
          <w:rFonts w:hint="eastAsia" w:ascii="仿宋_GB2312" w:hAnsi="仿宋_GB2312" w:eastAsia="仿宋_GB2312" w:cs="仿宋_GB2312"/>
          <w:color w:val="auto"/>
          <w:sz w:val="32"/>
          <w:szCs w:val="32"/>
          <w:highlight w:val="none"/>
        </w:rPr>
        <w:t>质量安全监管，切实守住不发生重大质量安全事故、不出现系统性区域性风险的底线。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一、</w:t>
      </w:r>
      <w:r>
        <w:rPr>
          <w:rFonts w:hint="eastAsia" w:ascii="黑体" w:hAnsi="黑体" w:eastAsia="黑体" w:cs="黑体"/>
          <w:color w:val="auto"/>
          <w:sz w:val="32"/>
          <w:szCs w:val="32"/>
          <w:highlight w:val="none"/>
        </w:rPr>
        <w:t>加强食品安全监管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8" w:lineRule="exact"/>
        <w:ind w:right="0" w:firstLine="640" w:firstLineChars="200"/>
        <w:jc w:val="both"/>
        <w:textAlignment w:val="auto"/>
        <w:rPr>
          <w:rFonts w:hint="eastAsia" w:ascii="仿宋_GB2312" w:hAnsi="Calibri" w:eastAsia="仿宋_GB2312" w:cs="仿宋_GB2312"/>
          <w:i w:val="0"/>
          <w:caps w:val="0"/>
          <w:color w:val="auto"/>
          <w:spacing w:val="0"/>
          <w:sz w:val="32"/>
          <w:szCs w:val="32"/>
          <w:highlight w:val="none"/>
          <w:shd w:val="clear" w:fill="FFFFFF"/>
        </w:rPr>
      </w:pPr>
      <w:r>
        <w:rPr>
          <w:rFonts w:hint="eastAsia" w:ascii="仿宋_GB2312" w:hAnsi="Calibri" w:eastAsia="仿宋_GB2312" w:cs="仿宋_GB2312"/>
          <w:i w:val="0"/>
          <w:caps w:val="0"/>
          <w:color w:val="auto"/>
          <w:spacing w:val="0"/>
          <w:sz w:val="32"/>
          <w:szCs w:val="32"/>
          <w:highlight w:val="none"/>
          <w:shd w:val="clear" w:fill="FFFFFF"/>
        </w:rPr>
        <w:t>强化党委政府对食品安全工作的组织领导，压实党政领导干部食品安全责任。建立健全乡镇（街道）食品安全协调机制，落实基层食品安全监管“四员”（管理员、宣传员、协管员、信息员）制度。完善食品安全工作评议考核制度。建立落实食品生产企业主体责任、监督检查和风险隐患排查治理体系</w:t>
      </w:r>
      <w:r>
        <w:rPr>
          <w:rFonts w:hint="eastAsia" w:ascii="仿宋_GB2312" w:hAnsi="Calibri" w:eastAsia="仿宋_GB2312" w:cs="仿宋_GB2312"/>
          <w:i w:val="0"/>
          <w:caps w:val="0"/>
          <w:color w:val="auto"/>
          <w:spacing w:val="0"/>
          <w:sz w:val="31"/>
          <w:szCs w:val="31"/>
          <w:highlight w:val="none"/>
          <w:shd w:val="clear" w:fill="FFFFFF"/>
        </w:rPr>
        <w:t>。</w:t>
      </w:r>
      <w:r>
        <w:rPr>
          <w:rFonts w:hint="eastAsia" w:ascii="仿宋_GB2312" w:hAnsi="Calibri" w:eastAsia="仿宋_GB2312" w:cs="仿宋_GB2312"/>
          <w:i w:val="0"/>
          <w:caps w:val="0"/>
          <w:color w:val="auto"/>
          <w:spacing w:val="0"/>
          <w:sz w:val="32"/>
          <w:szCs w:val="32"/>
          <w:highlight w:val="none"/>
          <w:shd w:val="clear" w:fill="FFFFFF"/>
        </w:rPr>
        <w:t>开展校园食品安全守护、农村假冒伪劣食品治理、餐饮质量安全提升等食品安全放心工程建设系列攻坚行动，持续推进专区专柜经营提升行动。深入推进“食安安徽”品牌建设，建立品牌培育、认证和示范体系，建立健全食品安全指数评价体系。到2025年，争创</w:t>
      </w:r>
      <w:r>
        <w:rPr>
          <w:rFonts w:hint="eastAsia" w:ascii="仿宋_GB2312" w:hAnsi="Calibri" w:eastAsia="仿宋_GB2312" w:cs="仿宋_GB2312"/>
          <w:i w:val="0"/>
          <w:caps w:val="0"/>
          <w:color w:val="auto"/>
          <w:spacing w:val="0"/>
          <w:sz w:val="32"/>
          <w:szCs w:val="32"/>
          <w:highlight w:val="none"/>
          <w:shd w:val="clear" w:fill="FFFFFF"/>
          <w:lang w:val="en-US" w:eastAsia="zh-CN"/>
        </w:rPr>
        <w:t>2</w:t>
      </w:r>
      <w:r>
        <w:rPr>
          <w:rFonts w:hint="eastAsia" w:ascii="仿宋_GB2312" w:hAnsi="Calibri" w:eastAsia="仿宋_GB2312" w:cs="仿宋_GB2312"/>
          <w:i w:val="0"/>
          <w:caps w:val="0"/>
          <w:color w:val="auto"/>
          <w:spacing w:val="0"/>
          <w:sz w:val="32"/>
          <w:szCs w:val="32"/>
          <w:highlight w:val="none"/>
          <w:shd w:val="clear" w:fill="FFFFFF"/>
        </w:rPr>
        <w:t>个省级食品安全示范县（区）。深化食品安全社会共治，推进食品安全责任保险工作。</w:t>
      </w:r>
      <w:r>
        <w:rPr>
          <w:rFonts w:hint="eastAsia" w:ascii="仿宋_GB2312" w:hAnsi="Calibri" w:eastAsia="仿宋_GB2312" w:cs="仿宋_GB2312"/>
          <w:i w:val="0"/>
          <w:caps w:val="0"/>
          <w:color w:val="auto"/>
          <w:spacing w:val="0"/>
          <w:sz w:val="32"/>
          <w:szCs w:val="32"/>
          <w:highlight w:val="none"/>
          <w:shd w:val="clear" w:fill="FFFFFF"/>
          <w:lang w:eastAsia="zh-CN"/>
        </w:rPr>
        <w:t>根据</w:t>
      </w:r>
      <w:r>
        <w:rPr>
          <w:rFonts w:hint="eastAsia" w:ascii="仿宋_GB2312" w:hAnsi="Calibri" w:eastAsia="仿宋_GB2312" w:cs="仿宋_GB2312"/>
          <w:i w:val="0"/>
          <w:caps w:val="0"/>
          <w:color w:val="auto"/>
          <w:spacing w:val="0"/>
          <w:sz w:val="32"/>
          <w:szCs w:val="32"/>
          <w:highlight w:val="none"/>
          <w:shd w:val="clear" w:fill="FFFFFF"/>
        </w:rPr>
        <w:t>评议</w:t>
      </w:r>
      <w:r>
        <w:rPr>
          <w:rFonts w:hint="eastAsia" w:ascii="仿宋_GB2312" w:hAnsi="Calibri" w:eastAsia="仿宋_GB2312" w:cs="仿宋_GB2312"/>
          <w:i w:val="0"/>
          <w:caps w:val="0"/>
          <w:color w:val="auto"/>
          <w:spacing w:val="0"/>
          <w:sz w:val="32"/>
          <w:szCs w:val="32"/>
          <w:highlight w:val="none"/>
          <w:shd w:val="clear" w:fill="FFFFFF"/>
          <w:lang w:eastAsia="zh-CN"/>
        </w:rPr>
        <w:t>考评需要，</w:t>
      </w:r>
      <w:r>
        <w:rPr>
          <w:rFonts w:hint="eastAsia" w:ascii="仿宋_GB2312" w:hAnsi="Calibri" w:eastAsia="仿宋_GB2312" w:cs="仿宋_GB2312"/>
          <w:i w:val="0"/>
          <w:caps w:val="0"/>
          <w:color w:val="auto"/>
          <w:spacing w:val="0"/>
          <w:sz w:val="32"/>
          <w:szCs w:val="32"/>
          <w:highlight w:val="none"/>
          <w:shd w:val="clear" w:fill="FFFFFF"/>
        </w:rPr>
        <w:t>开展群众食品安全满意度测评。到2025年，全</w:t>
      </w:r>
      <w:r>
        <w:rPr>
          <w:rFonts w:hint="eastAsia" w:ascii="仿宋_GB2312" w:hAnsi="Calibri" w:eastAsia="仿宋_GB2312" w:cs="仿宋_GB2312"/>
          <w:i w:val="0"/>
          <w:caps w:val="0"/>
          <w:color w:val="auto"/>
          <w:spacing w:val="0"/>
          <w:sz w:val="32"/>
          <w:szCs w:val="32"/>
          <w:highlight w:val="none"/>
          <w:shd w:val="clear" w:fill="FFFFFF"/>
          <w:lang w:eastAsia="zh-CN"/>
        </w:rPr>
        <w:t>市</w:t>
      </w:r>
      <w:r>
        <w:rPr>
          <w:rFonts w:hint="eastAsia" w:ascii="仿宋_GB2312" w:hAnsi="Calibri" w:eastAsia="仿宋_GB2312" w:cs="仿宋_GB2312"/>
          <w:i w:val="0"/>
          <w:caps w:val="0"/>
          <w:color w:val="auto"/>
          <w:spacing w:val="0"/>
          <w:sz w:val="32"/>
          <w:szCs w:val="32"/>
          <w:highlight w:val="none"/>
          <w:shd w:val="clear" w:fill="FFFFFF"/>
        </w:rPr>
        <w:t>食品安全治理体系更加严密高效，食品安全突出问题得到有效治理，食品安全总体状况持续稳定向好，食品质量安全水平、食品安全治理能力、食品产业发展水平和人民群众满意度明显提升。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8" w:lineRule="exact"/>
        <w:ind w:right="0" w:firstLine="640" w:firstLineChars="200"/>
        <w:jc w:val="both"/>
        <w:textAlignment w:val="auto"/>
        <w:rPr>
          <w:rFonts w:hint="default" w:ascii="仿宋_GB2312" w:hAnsi="Calibri" w:eastAsia="仿宋_GB2312" w:cs="仿宋_GB2312"/>
          <w:i w:val="0"/>
          <w:caps w:val="0"/>
          <w:color w:val="auto"/>
          <w:spacing w:val="0"/>
          <w:sz w:val="32"/>
          <w:szCs w:val="32"/>
          <w:highlight w:val="none"/>
          <w:shd w:val="clear" w:fill="FFFFFF"/>
        </w:rPr>
      </w:pPr>
    </w:p>
    <w:tbl>
      <w:tblPr>
        <w:tblStyle w:val="8"/>
        <w:tblW w:w="8865" w:type="dxa"/>
        <w:tblInd w:w="10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8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417" w:hRule="atLeast"/>
        </w:trPr>
        <w:tc>
          <w:tcPr>
            <w:tcW w:w="88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right="0"/>
              <w:jc w:val="center"/>
              <w:textAlignment w:val="auto"/>
              <w:rPr>
                <w:rFonts w:hint="default" w:ascii="Calibri" w:hAnsi="Calibri" w:cs="Calibri"/>
                <w:color w:val="auto"/>
                <w:sz w:val="21"/>
                <w:szCs w:val="21"/>
                <w:highlight w:val="none"/>
              </w:rPr>
            </w:pPr>
            <w:r>
              <w:rPr>
                <w:rFonts w:hint="eastAsia" w:ascii="黑体" w:hAnsi="宋体" w:eastAsia="黑体" w:cs="黑体"/>
                <w:i w:val="0"/>
                <w:caps w:val="0"/>
                <w:color w:val="auto"/>
                <w:spacing w:val="0"/>
                <w:kern w:val="0"/>
                <w:sz w:val="28"/>
                <w:szCs w:val="28"/>
                <w:highlight w:val="none"/>
                <w:lang w:val="en-US" w:eastAsia="zh-CN" w:bidi="ar"/>
              </w:rPr>
              <w:t>专栏7 “食安安徽”品牌建设计划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0" w:hRule="atLeast"/>
        </w:trPr>
        <w:tc>
          <w:tcPr>
            <w:tcW w:w="88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kern w:val="0"/>
                <w:sz w:val="32"/>
                <w:szCs w:val="32"/>
                <w:highlight w:val="none"/>
                <w:lang w:val="en-US" w:eastAsia="zh-CN" w:bidi="ar"/>
              </w:rPr>
              <w:t>实施质量兴农计划。提升优质绿色农产品供给水平，加大绿色食品、有机产品、地理标志农产品等认证登记工作力度，全面实现绿色食品、有机产品、地理标志农产品质量追溯管理。培育“食安安徽”食用农产品企业20家，食用农产品生产基地2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i w:val="0"/>
                <w:caps w:val="0"/>
                <w:color w:val="auto"/>
                <w:spacing w:val="0"/>
                <w:kern w:val="0"/>
                <w:sz w:val="32"/>
                <w:szCs w:val="32"/>
                <w:highlight w:val="none"/>
                <w:lang w:val="en-US" w:eastAsia="zh-CN" w:bidi="ar"/>
              </w:rPr>
              <w:t>建设林下经济示范基地。</w:t>
            </w:r>
            <w:r>
              <w:rPr>
                <w:rFonts w:hint="eastAsia" w:ascii="仿宋_GB2312" w:hAnsi="仿宋_GB2312" w:eastAsia="仿宋_GB2312" w:cs="仿宋_GB2312"/>
                <w:i w:val="0"/>
                <w:caps w:val="0"/>
                <w:color w:val="auto"/>
                <w:spacing w:val="0"/>
                <w:kern w:val="0"/>
                <w:sz w:val="32"/>
                <w:szCs w:val="32"/>
                <w:highlight w:val="none"/>
                <w:lang w:val="en-US" w:eastAsia="zh-CN" w:bidi="ar"/>
              </w:rPr>
              <w:t>以林业标准化示范区建设为抓手，提升林业标准化生产水平。培育1家食用林产品生产示范基地。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i w:val="0"/>
                <w:caps w:val="0"/>
                <w:color w:val="auto"/>
                <w:spacing w:val="0"/>
                <w:kern w:val="0"/>
                <w:sz w:val="32"/>
                <w:szCs w:val="32"/>
                <w:highlight w:val="none"/>
                <w:lang w:val="en-US" w:eastAsia="zh-CN" w:bidi="ar"/>
              </w:rPr>
              <w:t>推动食品产业转型升级。</w:t>
            </w:r>
            <w:r>
              <w:rPr>
                <w:rFonts w:hint="eastAsia" w:ascii="仿宋_GB2312" w:hAnsi="仿宋_GB2312" w:eastAsia="仿宋_GB2312" w:cs="仿宋_GB2312"/>
                <w:i w:val="0"/>
                <w:caps w:val="0"/>
                <w:color w:val="auto"/>
                <w:spacing w:val="0"/>
                <w:kern w:val="0"/>
                <w:sz w:val="32"/>
                <w:szCs w:val="32"/>
                <w:highlight w:val="none"/>
                <w:lang w:val="en-US" w:eastAsia="zh-CN" w:bidi="ar"/>
              </w:rPr>
              <w:t>提高食品流通等企业质量水平，打造食品流通消费环节领军企业品牌。培育“食安安徽”食品生产企业30家、食品生产基地1个，培育“食安安徽”食品流通企业20家、餐饮服务企业20家。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i w:val="0"/>
                <w:caps w:val="0"/>
                <w:color w:val="auto"/>
                <w:spacing w:val="0"/>
                <w:kern w:val="0"/>
                <w:sz w:val="32"/>
                <w:szCs w:val="32"/>
                <w:highlight w:val="none"/>
                <w:lang w:val="en-US" w:eastAsia="zh-CN" w:bidi="ar"/>
              </w:rPr>
              <w:t>实施示范创建引领行动。</w:t>
            </w:r>
            <w:r>
              <w:rPr>
                <w:rFonts w:hint="eastAsia" w:ascii="仿宋_GB2312" w:hAnsi="仿宋_GB2312" w:eastAsia="仿宋_GB2312" w:cs="仿宋_GB2312"/>
                <w:i w:val="0"/>
                <w:caps w:val="0"/>
                <w:color w:val="auto"/>
                <w:spacing w:val="0"/>
                <w:kern w:val="0"/>
                <w:sz w:val="32"/>
                <w:szCs w:val="32"/>
                <w:highlight w:val="none"/>
                <w:lang w:val="en-US" w:eastAsia="zh-CN" w:bidi="ar"/>
              </w:rPr>
              <w:t>开展食品安全街区、食品安全示范县创建活动。培育“食安安徽”食品安全街区3个、食品安全示范县（区）2个。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i w:val="0"/>
                <w:caps w:val="0"/>
                <w:color w:val="auto"/>
                <w:spacing w:val="0"/>
                <w:kern w:val="0"/>
                <w:sz w:val="32"/>
                <w:szCs w:val="32"/>
                <w:highlight w:val="none"/>
                <w:lang w:val="en-US" w:eastAsia="zh-CN" w:bidi="ar"/>
              </w:rPr>
              <w:t>加强出口食品安全管理。</w:t>
            </w:r>
            <w:r>
              <w:rPr>
                <w:rFonts w:hint="eastAsia" w:ascii="仿宋_GB2312" w:hAnsi="仿宋_GB2312" w:eastAsia="仿宋_GB2312" w:cs="仿宋_GB2312"/>
                <w:i w:val="0"/>
                <w:caps w:val="0"/>
                <w:color w:val="auto"/>
                <w:spacing w:val="0"/>
                <w:kern w:val="0"/>
                <w:sz w:val="32"/>
                <w:szCs w:val="32"/>
                <w:highlight w:val="none"/>
                <w:lang w:val="en-US" w:eastAsia="zh-CN" w:bidi="ar"/>
              </w:rPr>
              <w:t>促进小麦制品、脱水蔬菜、果蔬罐头等地方特色产品出口，助力农业转型升级和供给侧结构性改革，服务外贸发展。出口食品合格率达99%以上。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b/>
                <w:bCs/>
                <w:i w:val="0"/>
                <w:caps w:val="0"/>
                <w:color w:val="auto"/>
                <w:spacing w:val="0"/>
                <w:kern w:val="0"/>
                <w:sz w:val="32"/>
                <w:szCs w:val="32"/>
                <w:highlight w:val="none"/>
                <w:lang w:val="en-US" w:eastAsia="zh-CN" w:bidi="ar"/>
              </w:rPr>
              <w:t>实施“优质粮食工程”。</w:t>
            </w:r>
            <w:r>
              <w:rPr>
                <w:rFonts w:hint="eastAsia" w:ascii="仿宋_GB2312" w:hAnsi="仿宋_GB2312" w:eastAsia="仿宋_GB2312" w:cs="仿宋_GB2312"/>
                <w:i w:val="0"/>
                <w:caps w:val="0"/>
                <w:color w:val="auto"/>
                <w:spacing w:val="0"/>
                <w:kern w:val="0"/>
                <w:sz w:val="32"/>
                <w:szCs w:val="32"/>
                <w:highlight w:val="none"/>
                <w:lang w:val="en-US" w:eastAsia="zh-CN" w:bidi="ar"/>
              </w:rPr>
              <w:t>打造“优质粮食工程”升级版，加强“皖美粮油”公共品牌建设，推动粮食产业提质增效，增加优质食用农产品供给总量，提高绿色优质安全粮油供给水平。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default" w:ascii="宋体" w:hAnsi="宋体" w:eastAsia="宋体" w:cs="宋体"/>
                <w:i w:val="0"/>
                <w:caps w:val="0"/>
                <w:color w:val="auto"/>
                <w:spacing w:val="0"/>
                <w:kern w:val="0"/>
                <w:sz w:val="24"/>
                <w:szCs w:val="24"/>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“食安安徽”品牌建设计划涉及的数量指标为动态指导性指标，根据全市食品产业发展状况可适时调整，上级有具体要求的从其要求。</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Calibri" w:hAnsi="Calibri" w:cs="Calibri"/>
          <w:i w:val="0"/>
          <w:caps w:val="0"/>
          <w:color w:val="auto"/>
          <w:spacing w:val="0"/>
          <w:sz w:val="21"/>
          <w:szCs w:val="21"/>
          <w:highlight w:val="none"/>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加强药品安全监管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both"/>
        <w:textAlignment w:val="auto"/>
        <w:rPr>
          <w:rFonts w:hint="eastAsia" w:ascii="仿宋_GB2312" w:hAnsi="Calibri" w:eastAsia="仿宋_GB2312" w:cs="仿宋_GB2312"/>
          <w:i w:val="0"/>
          <w:caps w:val="0"/>
          <w:color w:val="auto"/>
          <w:spacing w:val="0"/>
          <w:kern w:val="0"/>
          <w:sz w:val="32"/>
          <w:szCs w:val="32"/>
          <w:highlight w:val="none"/>
          <w:shd w:val="clear" w:fill="FFFFFF"/>
          <w:lang w:val="en-US" w:eastAsia="zh-CN" w:bidi="ar"/>
        </w:rPr>
      </w:pPr>
      <w:r>
        <w:rPr>
          <w:rFonts w:hint="eastAsia" w:ascii="仿宋_GB2312" w:hAnsi="Calibri" w:eastAsia="仿宋_GB2312" w:cs="仿宋_GB2312"/>
          <w:i w:val="0"/>
          <w:caps w:val="0"/>
          <w:color w:val="auto"/>
          <w:spacing w:val="0"/>
          <w:kern w:val="0"/>
          <w:sz w:val="32"/>
          <w:szCs w:val="32"/>
          <w:highlight w:val="none"/>
          <w:shd w:val="clear" w:fill="FFFFFF"/>
          <w:lang w:val="en-US" w:eastAsia="zh-CN" w:bidi="ar"/>
        </w:rPr>
        <w:t>完善药品安全治理体系，强化药品全生命周期监管。加强技术支撑能力保障，促进中药传承创新发展。推进药品智慧监管，提升应急处置能力。</w:t>
      </w:r>
      <w:r>
        <w:rPr>
          <w:rFonts w:hint="eastAsia" w:ascii="仿宋_GB2312" w:hAnsi="仿宋_GB2312" w:eastAsia="仿宋_GB2312" w:cs="仿宋_GB2312"/>
          <w:color w:val="auto"/>
          <w:sz w:val="32"/>
          <w:szCs w:val="32"/>
          <w:highlight w:val="none"/>
        </w:rPr>
        <w:t>打造适应专业化监管要求的药品监管队伍</w:t>
      </w:r>
      <w:r>
        <w:rPr>
          <w:rFonts w:hint="eastAsia" w:ascii="仿宋_GB2312" w:hAnsi="Calibri" w:eastAsia="仿宋_GB2312" w:cs="仿宋_GB2312"/>
          <w:i w:val="0"/>
          <w:caps w:val="0"/>
          <w:color w:val="auto"/>
          <w:spacing w:val="0"/>
          <w:kern w:val="0"/>
          <w:sz w:val="32"/>
          <w:szCs w:val="32"/>
          <w:highlight w:val="none"/>
          <w:shd w:val="clear" w:fill="FFFFFF"/>
          <w:lang w:val="en-US" w:eastAsia="zh-CN" w:bidi="ar"/>
        </w:rPr>
        <w:t>，促进医药产业高质量发展，积极参与长三角区域药品科学监管一体化推进工作。实施药品安全发展协同工程、药品安全风险治理工程、药品检验检测能力提升工程、中药监管能力提升工程、智慧监管提升工程、应急能力提升工程、专业人才队伍建设工程、医药产业发展助力工程和区域协同治理工程。</w:t>
      </w:r>
      <w:r>
        <w:rPr>
          <w:rFonts w:hint="eastAsia" w:ascii="仿宋_GB2312" w:hAnsi="仿宋_GB2312" w:eastAsia="仿宋_GB2312" w:cs="仿宋_GB2312"/>
          <w:color w:val="auto"/>
          <w:sz w:val="32"/>
          <w:szCs w:val="32"/>
          <w:highlight w:val="none"/>
        </w:rPr>
        <w:t>开展“四个最严”专项行动，加强药品、医疗器械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化妆品流通和使用环节监管，强化疫苗安全监管，严厉打击药品违法行为。</w:t>
      </w:r>
      <w:r>
        <w:rPr>
          <w:rFonts w:hint="eastAsia" w:ascii="仿宋_GB2312" w:hAnsi="Calibri" w:eastAsia="仿宋_GB2312" w:cs="仿宋_GB2312"/>
          <w:i w:val="0"/>
          <w:caps w:val="0"/>
          <w:color w:val="auto"/>
          <w:spacing w:val="0"/>
          <w:kern w:val="0"/>
          <w:sz w:val="32"/>
          <w:szCs w:val="32"/>
          <w:highlight w:val="none"/>
          <w:shd w:val="clear" w:fill="FFFFFF"/>
          <w:lang w:val="en-US" w:eastAsia="zh-CN" w:bidi="ar"/>
        </w:rPr>
        <w:t>“十四五”时期，药品监管体系更加完善，依法行政水平持续提升，队伍建设取得较大进展，技术支撑能力显著增强，智慧监管实现更大突破，药品安全风险有效防控，服务创新发展卓有成效。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加强特种设备安全监管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both"/>
        <w:textAlignment w:val="auto"/>
        <w:rPr>
          <w:rFonts w:hint="eastAsia" w:ascii="仿宋_GB2312" w:hAnsi="Calibri" w:eastAsia="仿宋_GB2312" w:cs="仿宋_GB2312"/>
          <w:i w:val="0"/>
          <w:caps w:val="0"/>
          <w:color w:val="auto"/>
          <w:spacing w:val="0"/>
          <w:kern w:val="0"/>
          <w:sz w:val="32"/>
          <w:szCs w:val="32"/>
          <w:highlight w:val="none"/>
          <w:shd w:val="clear" w:fill="FFFFFF"/>
          <w:lang w:val="en-US" w:eastAsia="zh-CN" w:bidi="ar"/>
        </w:rPr>
      </w:pPr>
      <w:r>
        <w:rPr>
          <w:rFonts w:hint="eastAsia" w:ascii="仿宋_GB2312" w:hAnsi="Calibri" w:eastAsia="仿宋_GB2312" w:cs="仿宋_GB2312"/>
          <w:i w:val="0"/>
          <w:caps w:val="0"/>
          <w:color w:val="auto"/>
          <w:spacing w:val="0"/>
          <w:kern w:val="0"/>
          <w:sz w:val="32"/>
          <w:szCs w:val="32"/>
          <w:highlight w:val="none"/>
          <w:shd w:val="clear" w:fill="FFFFFF"/>
          <w:lang w:val="en-US" w:eastAsia="zh-CN" w:bidi="ar"/>
        </w:rPr>
        <w:t>完善特种设备安全责任体系，建立落实全员安全生产责任制。推进特种设备风险分级管控和隐患排查治理双重预防体系建设，推深做实重大隐患排查治理“一单四制”制度。应用安徽省特种设备安全监管大数据信息化系统，提高智慧监管水平。积极推动特种设备纳入城市生命线安全工程。打造典型示范、区域共享的特种设备职业技能实训平台，大力提升特种设备作业人员职业技能。完善电梯应急处置服务平台建设，开展电梯维保模式和检验检测方式改革，推动电梯安全责任保险，推进电梯无纸化维保和老旧电梯更新改造。充分发挥气瓶质量安全追溯体系智慧监管作用，开展气瓶保险试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加强产品质量安全监管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完善产品质量安全风险监测机制，</w:t>
      </w:r>
      <w:r>
        <w:rPr>
          <w:rFonts w:hint="eastAsia" w:ascii="仿宋_GB2312" w:hAnsi="仿宋_GB2312" w:eastAsia="仿宋_GB2312" w:cs="仿宋_GB2312"/>
          <w:color w:val="auto"/>
          <w:sz w:val="32"/>
          <w:szCs w:val="32"/>
          <w:highlight w:val="none"/>
          <w:lang w:eastAsia="zh-CN"/>
        </w:rPr>
        <w:t>加强风险隐患排查治理。</w:t>
      </w:r>
      <w:r>
        <w:rPr>
          <w:rFonts w:hint="eastAsia" w:ascii="仿宋_GB2312" w:hAnsi="仿宋_GB2312" w:eastAsia="仿宋_GB2312" w:cs="仿宋_GB2312"/>
          <w:color w:val="auto"/>
          <w:sz w:val="32"/>
          <w:szCs w:val="32"/>
          <w:highlight w:val="none"/>
        </w:rPr>
        <w:t>健全产品质量监督抽查体系</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工作机制，形成生产流通、线上线下深度融合模式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统筹各级监督抽查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级监督抽查重点产品目录。以涉及生产许可、安全生产、环境保护、淘汰落后产能的工业产品和大宗日用消费品为重点，每年组织</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种以上产品开展监督抽查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扩大抽查覆盖面和有效性，每年国家抽查</w:t>
      </w:r>
      <w:r>
        <w:rPr>
          <w:rFonts w:hint="eastAsia" w:ascii="仿宋_GB2312" w:hAnsi="仿宋_GB2312" w:eastAsia="仿宋_GB2312" w:cs="仿宋_GB2312"/>
          <w:color w:val="auto"/>
          <w:sz w:val="32"/>
          <w:szCs w:val="32"/>
          <w:highlight w:val="none"/>
          <w:lang w:eastAsia="zh-CN"/>
        </w:rPr>
        <w:t>省级抽查</w:t>
      </w:r>
      <w:r>
        <w:rPr>
          <w:rFonts w:hint="eastAsia" w:ascii="仿宋_GB2312" w:hAnsi="仿宋_GB2312" w:eastAsia="仿宋_GB2312" w:cs="仿宋_GB2312"/>
          <w:color w:val="auto"/>
          <w:sz w:val="32"/>
          <w:szCs w:val="32"/>
          <w:highlight w:val="none"/>
        </w:rPr>
        <w:t>企业产品质量合格率高于全国</w:t>
      </w:r>
      <w:r>
        <w:rPr>
          <w:rFonts w:hint="eastAsia" w:ascii="仿宋_GB2312" w:hAnsi="仿宋_GB2312" w:eastAsia="仿宋_GB2312" w:cs="仿宋_GB2312"/>
          <w:color w:val="auto"/>
          <w:sz w:val="32"/>
          <w:szCs w:val="32"/>
          <w:highlight w:val="none"/>
          <w:lang w:eastAsia="zh-CN"/>
        </w:rPr>
        <w:t>、全省</w:t>
      </w:r>
      <w:r>
        <w:rPr>
          <w:rFonts w:hint="eastAsia" w:ascii="仿宋_GB2312" w:hAnsi="仿宋_GB2312" w:eastAsia="仿宋_GB2312" w:cs="仿宋_GB2312"/>
          <w:color w:val="auto"/>
          <w:sz w:val="32"/>
          <w:szCs w:val="32"/>
          <w:highlight w:val="none"/>
        </w:rPr>
        <w:t>平均水平，</w:t>
      </w:r>
      <w:r>
        <w:rPr>
          <w:rFonts w:hint="eastAsia" w:ascii="仿宋_GB2312" w:hAnsi="仿宋_GB2312" w:eastAsia="仿宋_GB2312" w:cs="仿宋_GB2312"/>
          <w:color w:val="auto"/>
          <w:sz w:val="32"/>
          <w:szCs w:val="32"/>
          <w:highlight w:val="none"/>
          <w:lang w:eastAsia="zh-CN"/>
        </w:rPr>
        <w:t>市级</w:t>
      </w:r>
      <w:r>
        <w:rPr>
          <w:rFonts w:hint="eastAsia" w:ascii="仿宋_GB2312" w:hAnsi="仿宋_GB2312" w:eastAsia="仿宋_GB2312" w:cs="仿宋_GB2312"/>
          <w:color w:val="auto"/>
          <w:sz w:val="32"/>
          <w:szCs w:val="32"/>
          <w:highlight w:val="none"/>
        </w:rPr>
        <w:t>抽查</w:t>
      </w:r>
      <w:r>
        <w:rPr>
          <w:rFonts w:hint="eastAsia" w:ascii="仿宋_GB2312" w:hAnsi="仿宋_GB2312" w:eastAsia="仿宋_GB2312" w:cs="仿宋_GB2312"/>
          <w:color w:val="auto"/>
          <w:sz w:val="32"/>
          <w:szCs w:val="32"/>
          <w:highlight w:val="none"/>
          <w:lang w:eastAsia="zh-CN"/>
        </w:rPr>
        <w:t>淮北市生产</w:t>
      </w:r>
      <w:r>
        <w:rPr>
          <w:rFonts w:hint="eastAsia" w:ascii="仿宋_GB2312" w:hAnsi="仿宋_GB2312" w:eastAsia="仿宋_GB2312" w:cs="仿宋_GB2312"/>
          <w:color w:val="auto"/>
          <w:sz w:val="32"/>
          <w:szCs w:val="32"/>
          <w:highlight w:val="none"/>
        </w:rPr>
        <w:t>企业产品质量合格率稳定在 9</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以上。加大产品不合格企业后处理力度，探索将抽查结果纳入国家企业信用信息公示系统。建立重大质量问题约谈机制，对抽检合格率偏低的企业实施重点检查，加强跟踪抽查，对产品不合格企业形成有力震慑。完善工业产品生产许可证事中事后监管工作体系，将获证企业监督检查纳入“双随机”平台</w:t>
      </w:r>
      <w:r>
        <w:rPr>
          <w:rFonts w:hint="eastAsia" w:ascii="仿宋_GB2312" w:hAnsi="仿宋_GB2312" w:eastAsia="仿宋_GB2312" w:cs="仿宋_GB2312"/>
          <w:color w:val="auto"/>
          <w:sz w:val="32"/>
          <w:szCs w:val="32"/>
          <w:highlight w:val="none"/>
          <w:lang w:eastAsia="zh-CN"/>
        </w:rPr>
        <w:t>，实施分类</w:t>
      </w:r>
      <w:r>
        <w:rPr>
          <w:rFonts w:hint="eastAsia" w:ascii="仿宋_GB2312" w:hAnsi="仿宋_GB2312" w:eastAsia="仿宋_GB2312" w:cs="仿宋_GB2312"/>
          <w:color w:val="auto"/>
          <w:sz w:val="32"/>
          <w:szCs w:val="32"/>
          <w:highlight w:val="none"/>
        </w:rPr>
        <w:t>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开展工业产品生产许可证发证产品以及举报较多的汽车配件，儿童用品、学生用品等重点</w:t>
      </w:r>
      <w:r>
        <w:rPr>
          <w:rFonts w:hint="eastAsia" w:ascii="仿宋_GB2312" w:hAnsi="仿宋_GB2312" w:eastAsia="仿宋_GB2312" w:cs="仿宋_GB2312"/>
          <w:color w:val="auto"/>
          <w:sz w:val="32"/>
          <w:szCs w:val="32"/>
          <w:highlight w:val="none"/>
          <w:lang w:eastAsia="zh-CN"/>
        </w:rPr>
        <w:t>专项整治。</w:t>
      </w:r>
    </w:p>
    <w:p>
      <w:pPr>
        <w:pStyle w:val="2"/>
        <w:keepNext w:val="0"/>
        <w:keepLines w:val="0"/>
        <w:pageBreakBefore w:val="0"/>
        <w:kinsoku/>
        <w:wordWrap/>
        <w:overflowPunct/>
        <w:topLinePunct w:val="0"/>
        <w:autoSpaceDE/>
        <w:autoSpaceDN/>
        <w:bidi w:val="0"/>
        <w:spacing w:line="578" w:lineRule="exact"/>
        <w:textAlignment w:val="auto"/>
        <w:rPr>
          <w:rFonts w:hint="eastAsia"/>
          <w:color w:val="auto"/>
          <w:highlight w:val="none"/>
          <w:lang w:eastAsia="zh-CN"/>
        </w:rPr>
      </w:pPr>
    </w:p>
    <w:p>
      <w:pPr>
        <w:pStyle w:val="2"/>
        <w:keepNext w:val="0"/>
        <w:keepLines w:val="0"/>
        <w:pageBreakBefore w:val="0"/>
        <w:kinsoku/>
        <w:wordWrap/>
        <w:overflowPunct/>
        <w:topLinePunct w:val="0"/>
        <w:autoSpaceDE/>
        <w:autoSpaceDN/>
        <w:bidi w:val="0"/>
        <w:spacing w:line="578" w:lineRule="exact"/>
        <w:textAlignment w:val="auto"/>
        <w:rPr>
          <w:rFonts w:hint="eastAsia"/>
          <w:color w:val="auto"/>
          <w:highlight w:val="none"/>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6"/>
          <w:szCs w:val="36"/>
          <w:highlight w:val="none"/>
          <w:lang w:eastAsia="zh-CN"/>
        </w:rPr>
      </w:pPr>
      <w:r>
        <w:rPr>
          <w:rFonts w:hint="eastAsia" w:ascii="黑体" w:hAnsi="黑体" w:eastAsia="黑体" w:cs="黑体"/>
          <w:color w:val="auto"/>
          <w:sz w:val="36"/>
          <w:szCs w:val="36"/>
          <w:highlight w:val="none"/>
          <w:lang w:eastAsia="zh-CN"/>
        </w:rPr>
        <w:t>第九章</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lang w:eastAsia="zh-CN"/>
        </w:rPr>
        <w:t>完善履职支撑体系</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lang w:eastAsia="zh-CN"/>
        </w:rPr>
        <w:t>提升市场治理综合效能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围绕推进市场监管体系和监管能力现代化，进一步完善市场监管体制机制，推进市场监管法治建设，加快智慧监管步伐，全面提升监管的科学性、精准性和有效性。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楷体_GB2312" w:hAnsi="楷体_GB2312" w:eastAsia="楷体_GB2312" w:cs="楷体_GB2312"/>
          <w:b/>
          <w:bCs/>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一、完善市场监管综合管理体系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进一步理顺市场监管部门与行政审批部门、综合执法部门的事权，建立健</w:t>
      </w:r>
      <w:r>
        <w:rPr>
          <w:rFonts w:hint="eastAsia" w:ascii="仿宋_GB2312" w:hAnsi="仿宋_GB2312" w:eastAsia="仿宋_GB2312" w:cs="仿宋_GB2312"/>
          <w:color w:val="auto"/>
          <w:sz w:val="32"/>
          <w:szCs w:val="32"/>
          <w:highlight w:val="none"/>
          <w:lang w:eastAsia="zh-CN"/>
        </w:rPr>
        <w:t>全</w:t>
      </w:r>
      <w:r>
        <w:rPr>
          <w:rFonts w:hint="eastAsia" w:ascii="仿宋_GB2312" w:hAnsi="仿宋_GB2312" w:eastAsia="仿宋_GB2312" w:cs="仿宋_GB2312"/>
          <w:color w:val="auto"/>
          <w:sz w:val="32"/>
          <w:szCs w:val="32"/>
          <w:highlight w:val="none"/>
        </w:rPr>
        <w:t>市局</w:t>
      </w:r>
      <w:r>
        <w:rPr>
          <w:rFonts w:hint="eastAsia" w:ascii="仿宋_GB2312" w:hAnsi="仿宋_GB2312" w:eastAsia="仿宋_GB2312" w:cs="仿宋_GB2312"/>
          <w:color w:val="auto"/>
          <w:sz w:val="32"/>
          <w:szCs w:val="32"/>
          <w:highlight w:val="none"/>
          <w:lang w:eastAsia="zh-CN"/>
        </w:rPr>
        <w:t>、县（区）局之间，审批与监管关系，</w:t>
      </w:r>
      <w:r>
        <w:rPr>
          <w:rFonts w:hint="eastAsia" w:ascii="仿宋_GB2312" w:hAnsi="仿宋_GB2312" w:eastAsia="仿宋_GB2312" w:cs="仿宋_GB2312"/>
          <w:color w:val="auto"/>
          <w:sz w:val="32"/>
          <w:szCs w:val="32"/>
          <w:highlight w:val="none"/>
        </w:rPr>
        <w:t>对委托下放事权实施情况加强监督管理，确保“放得下、接得住、管得好”。完善基层市场监管综合执法体制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加快形成权界清晰、分工合理、权责一致运转高效的行政执法体系。</w:t>
      </w:r>
      <w:r>
        <w:rPr>
          <w:rFonts w:hint="eastAsia" w:ascii="仿宋_GB2312" w:hAnsi="Calibri" w:eastAsia="仿宋_GB2312" w:cs="仿宋_GB2312"/>
          <w:i w:val="0"/>
          <w:caps w:val="0"/>
          <w:color w:val="auto"/>
          <w:spacing w:val="0"/>
          <w:kern w:val="0"/>
          <w:sz w:val="32"/>
          <w:szCs w:val="32"/>
          <w:highlight w:val="none"/>
          <w:shd w:val="clear" w:fill="FFFFFF"/>
          <w:lang w:val="en-US" w:eastAsia="zh-CN" w:bidi="ar"/>
        </w:rPr>
        <w:t>建立分工明确、权责清晰、层级联动的市场监管综合执法队伍。探索案件智能分析、执法辅助、掌上执法等数字化运用。完善监管执法部门之间、市场监管部门与司法机关之间线索通报和证据移转、案件协查、联合办案、行刑衔接、检验鉴定结果互认制度。推进市场监管所标准化规范化建设，力争2023年底前全部达标。深入推进技术机构事业单位改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b/>
          <w:bCs/>
          <w:color w:val="auto"/>
          <w:sz w:val="32"/>
          <w:szCs w:val="32"/>
          <w:highlight w:val="none"/>
        </w:rPr>
      </w:pPr>
      <w:r>
        <w:rPr>
          <w:rFonts w:hint="eastAsia" w:ascii="黑体" w:hAnsi="黑体" w:eastAsia="黑体" w:cs="黑体"/>
          <w:color w:val="auto"/>
          <w:sz w:val="32"/>
          <w:szCs w:val="32"/>
          <w:highlight w:val="none"/>
        </w:rPr>
        <w:t>二</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rPr>
        <w:t>健全市场监管法治保障体系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结合《民法典》相关规定，</w:t>
      </w:r>
      <w:r>
        <w:rPr>
          <w:rFonts w:hint="eastAsia" w:ascii="仿宋_GB2312" w:hAnsi="仿宋_GB2312" w:eastAsia="仿宋_GB2312" w:cs="仿宋_GB2312"/>
          <w:color w:val="auto"/>
          <w:sz w:val="32"/>
          <w:szCs w:val="32"/>
          <w:highlight w:val="none"/>
          <w:lang w:eastAsia="zh-CN"/>
        </w:rPr>
        <w:t>协助推进《淮北市优化营商环境条例》等</w:t>
      </w:r>
      <w:r>
        <w:rPr>
          <w:rFonts w:hint="eastAsia" w:ascii="仿宋_GB2312" w:hAnsi="仿宋_GB2312" w:eastAsia="仿宋_GB2312" w:cs="仿宋_GB2312"/>
          <w:color w:val="auto"/>
          <w:sz w:val="32"/>
          <w:szCs w:val="32"/>
          <w:highlight w:val="none"/>
        </w:rPr>
        <w:t>立法进程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完善依法行政制度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严格执行规范性文件制定程序，全面落实制定过程中意见公开征集、合法性审查、集体讨论决定等制度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提高规范性文件管理质效水平，规范性文件报备率、及时率、规范率达 100%。完善依法行政程序和制度，全面落实执法过错责任追究和依法</w:t>
      </w:r>
      <w:r>
        <w:rPr>
          <w:rFonts w:hint="eastAsia" w:ascii="仿宋_GB2312" w:hAnsi="仿宋_GB2312" w:eastAsia="仿宋_GB2312" w:cs="仿宋_GB2312"/>
          <w:color w:val="auto"/>
          <w:sz w:val="32"/>
          <w:szCs w:val="32"/>
          <w:highlight w:val="none"/>
          <w:lang w:eastAsia="zh-CN"/>
        </w:rPr>
        <w:t>履职尽责</w:t>
      </w:r>
      <w:r>
        <w:rPr>
          <w:rFonts w:hint="eastAsia" w:ascii="仿宋_GB2312" w:hAnsi="仿宋_GB2312" w:eastAsia="仿宋_GB2312" w:cs="仿宋_GB2312"/>
          <w:color w:val="auto"/>
          <w:sz w:val="32"/>
          <w:szCs w:val="32"/>
          <w:highlight w:val="none"/>
        </w:rPr>
        <w:t>免责制度机制。健全行政处罚裁量适用制度，严格规范行政处罚裁量适用权的行使</w:t>
      </w:r>
      <w:r>
        <w:rPr>
          <w:rFonts w:hint="eastAsia" w:ascii="仿宋_GB2312" w:hAnsi="仿宋_GB2312" w:eastAsia="仿宋_GB2312" w:cs="仿宋_GB2312"/>
          <w:color w:val="auto"/>
          <w:sz w:val="32"/>
          <w:szCs w:val="32"/>
          <w:highlight w:val="none"/>
          <w:lang w:eastAsia="zh-CN"/>
        </w:rPr>
        <w:t>。进一步完善行政处罚程序规定，完善内部层级监督和专门监督，建立并落实常态化执法监督制度。落实行政机关负责人出庭应诉制度。深化“八五”普法宣传，开展“法律六进”活动，提高法治宣传教育水平。</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960" w:firstLineChars="300"/>
        <w:jc w:val="both"/>
        <w:textAlignment w:val="auto"/>
        <w:rPr>
          <w:rFonts w:hint="eastAsia" w:ascii="楷体_GB2312" w:hAnsi="楷体_GB2312" w:eastAsia="楷体_GB2312" w:cs="楷体_GB2312"/>
          <w:b/>
          <w:bCs/>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完善新型市场监管机制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rPr>
        <w:t>完善我</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“双随机、一公开”监管工作规范，</w:t>
      </w:r>
      <w:r>
        <w:rPr>
          <w:rFonts w:hint="eastAsia" w:ascii="仿宋_GB2312" w:hAnsi="仿宋_GB2312" w:eastAsia="仿宋_GB2312" w:cs="仿宋_GB2312"/>
          <w:color w:val="auto"/>
          <w:sz w:val="32"/>
          <w:szCs w:val="32"/>
          <w:highlight w:val="none"/>
          <w:lang w:eastAsia="zh-CN"/>
        </w:rPr>
        <w:t>深化“双随机、一公开”监管，</w:t>
      </w:r>
      <w:r>
        <w:rPr>
          <w:rFonts w:hint="eastAsia" w:ascii="仿宋_GB2312" w:hAnsi="仿宋_GB2312" w:eastAsia="仿宋_GB2312" w:cs="仿宋_GB2312"/>
          <w:color w:val="auto"/>
          <w:sz w:val="32"/>
          <w:szCs w:val="32"/>
          <w:highlight w:val="none"/>
        </w:rPr>
        <w:t>动态更新部门联合双随机监管事项清单，</w:t>
      </w:r>
      <w:r>
        <w:rPr>
          <w:rFonts w:hint="eastAsia" w:ascii="仿宋_GB2312" w:hAnsi="仿宋_GB2312" w:eastAsia="仿宋_GB2312" w:cs="仿宋_GB2312"/>
          <w:color w:val="auto"/>
          <w:sz w:val="32"/>
          <w:szCs w:val="32"/>
          <w:highlight w:val="none"/>
          <w:lang w:eastAsia="zh-CN"/>
        </w:rPr>
        <w:t>完善常态化</w:t>
      </w:r>
      <w:r>
        <w:rPr>
          <w:rFonts w:hint="eastAsia" w:ascii="仿宋_GB2312" w:hAnsi="仿宋_GB2312" w:eastAsia="仿宋_GB2312" w:cs="仿宋_GB2312"/>
          <w:color w:val="auto"/>
          <w:sz w:val="32"/>
          <w:szCs w:val="32"/>
          <w:highlight w:val="none"/>
        </w:rPr>
        <w:t>联合抽查。</w:t>
      </w:r>
      <w:r>
        <w:rPr>
          <w:rFonts w:hint="eastAsia" w:ascii="仿宋_GB2312" w:hAnsi="仿宋_GB2312" w:eastAsia="仿宋_GB2312" w:cs="仿宋_GB2312"/>
          <w:color w:val="auto"/>
          <w:sz w:val="32"/>
          <w:szCs w:val="32"/>
          <w:highlight w:val="none"/>
          <w:lang w:eastAsia="zh-CN"/>
        </w:rPr>
        <w:t>探索</w:t>
      </w:r>
      <w:r>
        <w:rPr>
          <w:rFonts w:hint="eastAsia" w:ascii="仿宋_GB2312" w:hAnsi="仿宋_GB2312" w:eastAsia="仿宋_GB2312" w:cs="仿宋_GB2312"/>
          <w:color w:val="auto"/>
          <w:sz w:val="32"/>
          <w:szCs w:val="32"/>
          <w:highlight w:val="none"/>
        </w:rPr>
        <w:t>开展多类别检查对象库、大数据分析研判等试点，提高抽查精准性。加强涉企信息归集公示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促进市场监管系统食品、药品、知识产权、价格、质量等各领域的涉企信息“应归尽归”，实现涉企信用信息类别全覆盖。强化企业信用信息公示系统</w:t>
      </w:r>
      <w:r>
        <w:rPr>
          <w:rFonts w:hint="eastAsia" w:ascii="仿宋_GB2312" w:hAnsi="仿宋_GB2312" w:eastAsia="仿宋_GB2312" w:cs="仿宋_GB2312"/>
          <w:color w:val="auto"/>
          <w:sz w:val="32"/>
          <w:szCs w:val="32"/>
          <w:highlight w:val="none"/>
          <w:lang w:eastAsia="zh-CN"/>
        </w:rPr>
        <w:t>应用</w:t>
      </w:r>
      <w:r>
        <w:rPr>
          <w:rFonts w:hint="eastAsia" w:ascii="仿宋_GB2312" w:hAnsi="仿宋_GB2312" w:eastAsia="仿宋_GB2312" w:cs="仿宋_GB2312"/>
          <w:color w:val="auto"/>
          <w:sz w:val="32"/>
          <w:szCs w:val="32"/>
          <w:highlight w:val="none"/>
        </w:rPr>
        <w:t>，加大事中事后综合监管平台推广应用力度，全面有效归集各类涉企信息，记于企业名下并向社会公示，深化企业“多报合</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”改革，强化市场主体公示信息抽查，督促企业落实主体责任，推动年度市场主体年报公示率保持较高水平。强化信用约束和联合惩戒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市场监管部门严重违法失信名单管理制度，推动共享共用。强化企业信用风险分类管理，推行“通用+专业”信用管理模式，实施差异化监管。积极构建“智慧化＋信用化＋网格化”三位一体新型监管机制，实现对市场主体全链条闭环管理。推进柔性监管，探索建立触发式监管，完善宽严相济的梯次监管工具。实施市场主体责任清单管理，鼓励市场主体做出比法律规定要求更高的承诺，强化涉及人身健康安全领域的内部举报人（吹哨人）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四、建设高素质专业化干部队伍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严格执行《党政领导干部选拔任用工作条例》，精准科学选人用人。制定实施鼓励激励、容错纠错、能上能下“三项机制”，最大限度保护和激发干部干事创业热情。坚持正向激励，统筹建立平时激励、及时奖励、专项表彰制度，坚持在急难险重岗位识别选拔干部，对在市场监管工作中成绩突出或在关键时刻或急难险重任务中表现突出、作出重大贡献的工作人员按规定给予推荐表彰。每年制定实施教育培训计划，采取网络培训、专题授课、实战练兵等多种形式，深入实施重点人才培养工程，统筹推进综合管理、行政执法、专业技术三支人才队伍建设。</w:t>
      </w:r>
    </w:p>
    <w:p>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五、推进市场监管数智化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参考总局和省局市场监管信息化建设技术方案，结合我市市场监管工作发展需要，在推广国建、省建业务应用系统的基础上，结合“数字淮北”建设要求，完善和建设准入、监管、服务应用类业务应用系统。</w:t>
      </w:r>
    </w:p>
    <w:p>
      <w:pPr>
        <w:pStyle w:val="2"/>
        <w:keepNext w:val="0"/>
        <w:keepLines w:val="0"/>
        <w:pageBreakBefore w:val="0"/>
        <w:kinsoku/>
        <w:wordWrap/>
        <w:overflowPunct/>
        <w:topLinePunct w:val="0"/>
        <w:autoSpaceDE/>
        <w:autoSpaceDN/>
        <w:bidi w:val="0"/>
        <w:spacing w:line="578" w:lineRule="exact"/>
        <w:textAlignment w:val="auto"/>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第十章 加强规划实施保障  绘就市场监管事业新篇章</w:t>
      </w:r>
    </w:p>
    <w:p>
      <w:pPr>
        <w:pStyle w:val="2"/>
        <w:keepNext w:val="0"/>
        <w:keepLines w:val="0"/>
        <w:pageBreakBefore w:val="0"/>
        <w:kinsoku/>
        <w:wordWrap/>
        <w:overflowPunct/>
        <w:topLinePunct w:val="0"/>
        <w:autoSpaceDE/>
        <w:autoSpaceDN/>
        <w:bidi w:val="0"/>
        <w:spacing w:line="578" w:lineRule="exact"/>
        <w:textAlignment w:val="auto"/>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五”时期，全市市场监管事业改革发展任务艰巨，必须坚持党的全面领导，把党的领导落实到规划实施的全过程，强化规划的刚性约束力和执行力，确保规划各项任务的有效落实，推动市场监管事业迈上新征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一、坚持党的全面领导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全面加强党的集中统一领导，落实全面从严治党主体责任，把党的全面领导和党中央集中统一领导贯彻落实到市场监管工作各个领域、各个环节。强化基层党组织整体功能，深入推进基层党组织标准化规范化建设，全面开展基层党建工作品牌创建，严格落实“三会一课”制度，规范党内组织生活，充分发挥基层党组织战斗堡垒作用和党员先锋模范作用。坚持抓党建带动工会、共青团、妇女工作，激发群团活力。加强作风建设，认真落实中央八项规定精神和省</w:t>
      </w:r>
      <w:bookmarkStart w:id="2" w:name="_GoBack"/>
      <w:bookmarkEnd w:id="2"/>
      <w:r>
        <w:rPr>
          <w:rFonts w:hint="eastAsia" w:ascii="仿宋_GB2312" w:hAnsi="仿宋_GB2312" w:eastAsia="仿宋_GB2312" w:cs="仿宋_GB2312"/>
          <w:color w:val="auto"/>
          <w:sz w:val="32"/>
          <w:szCs w:val="32"/>
          <w:highlight w:val="none"/>
          <w:lang w:val="en-US" w:eastAsia="zh-CN"/>
        </w:rPr>
        <w:t>委、市委实施细则，深化“三个以案”警示教育。加强廉政建设，严格执行和维护党的纪律，把严的主基调长期坚持下去，深化运用监督执纪“四种形态”。强化纪律教育，让党员、干部知敬畏、存戒惧、守底线，用铁的纪律保证全面从严治党落到实处。</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加强“小个专”党建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充分发挥“小个专”党建作用，通过不断强化政治引领，进一步提升“两个覆盖”质量，深入推进典型示范带动，把党建工作和服务发展融合推进，引导和帮助“小个专”党组织把党的政治优势、组织优势转化为企业发展优势。选派符合条件的党员到非公企业担任党建工作指导员，加大派驻力度，加强规范管理，积极帮助“小个专”强党建、解难题、促发展。调动广大职工群众和商户的生产经营积极性，营造文明诚信、公平竞争的市场环境，实现经济效益与社会效益互促双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三、加强规划统筹衔接和实施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突出本规划的战略性、宏观性和政策性，进一步聚焦事关全市市场监管事业长远发展的重大战略、具有全局影响的重大政策，为各类专项规划提供依据。</w:t>
      </w:r>
      <w:r>
        <w:rPr>
          <w:rFonts w:hint="eastAsia" w:ascii="仿宋_GB2312" w:hAnsi="仿宋_GB2312" w:eastAsia="仿宋_GB2312" w:cs="仿宋_GB2312"/>
          <w:b w:val="0"/>
          <w:bCs w:val="0"/>
          <w:color w:val="auto"/>
          <w:sz w:val="32"/>
          <w:szCs w:val="32"/>
          <w:highlight w:val="none"/>
          <w:lang w:val="en-US" w:eastAsia="zh-CN"/>
        </w:rPr>
        <w:t>市局综合规划和各专项规划要</w:t>
      </w:r>
      <w:r>
        <w:rPr>
          <w:rFonts w:hint="eastAsia" w:ascii="仿宋_GB2312" w:hAnsi="仿宋_GB2312" w:eastAsia="仿宋_GB2312" w:cs="仿宋_GB2312"/>
          <w:color w:val="auto"/>
          <w:sz w:val="32"/>
          <w:szCs w:val="32"/>
          <w:highlight w:val="none"/>
          <w:lang w:val="en-US" w:eastAsia="zh-CN"/>
        </w:rPr>
        <w:t>坚持下位规划服从上位规划、下级规划服务上级规划、等位规划相互协调、其他规划服从综合规划、相关规划互不矛盾的原则，构建纵向衔接、横向协调的规划衔接机制。</w:t>
      </w:r>
      <w:r>
        <w:rPr>
          <w:rFonts w:hint="eastAsia" w:ascii="仿宋_GB2312" w:hAnsi="仿宋_GB2312" w:eastAsia="仿宋_GB2312" w:cs="仿宋_GB2312"/>
          <w:b w:val="0"/>
          <w:bCs w:val="0"/>
          <w:color w:val="auto"/>
          <w:sz w:val="32"/>
          <w:szCs w:val="32"/>
          <w:highlight w:val="none"/>
          <w:lang w:val="en-US" w:eastAsia="zh-CN"/>
        </w:rPr>
        <w:t>本规划批准发布实施后，要</w:t>
      </w:r>
      <w:r>
        <w:rPr>
          <w:rFonts w:hint="eastAsia" w:ascii="仿宋_GB2312" w:hAnsi="仿宋_GB2312" w:eastAsia="仿宋_GB2312" w:cs="仿宋_GB2312"/>
          <w:color w:val="auto"/>
          <w:sz w:val="32"/>
          <w:szCs w:val="32"/>
          <w:highlight w:val="none"/>
          <w:lang w:val="en-US" w:eastAsia="zh-CN"/>
        </w:rPr>
        <w:t>加强规划宣传解读，细化发展目标，分解工作任务，落实相应责任。要认真开展规划中期评估和总结评估，对实施情况进行督查考核，及时协调解决存在的问题。要将规划目标任务纳入绩效考核体系，实施年度考核，确保落到实处。</w:t>
      </w:r>
    </w:p>
    <w:p>
      <w:pPr>
        <w:keepNext w:val="0"/>
        <w:keepLines w:val="0"/>
        <w:pageBreakBefore w:val="0"/>
        <w:widowControl/>
        <w:kinsoku/>
        <w:wordWrap/>
        <w:overflowPunct/>
        <w:topLinePunct w:val="0"/>
        <w:autoSpaceDE/>
        <w:autoSpaceDN/>
        <w:bidi w:val="0"/>
        <w:spacing w:line="578" w:lineRule="exact"/>
        <w:jc w:val="center"/>
        <w:textAlignment w:val="auto"/>
        <w:outlineLvl w:val="0"/>
        <w:rPr>
          <w:rFonts w:hint="eastAsia" w:ascii="方正小标宋_GBK" w:hAnsi="Times New Roman" w:eastAsia="方正小标宋_GBK" w:cs="Times New Roman"/>
          <w:bCs/>
          <w:color w:val="auto"/>
          <w:kern w:val="36"/>
          <w:sz w:val="44"/>
          <w:szCs w:val="44"/>
          <w:highlight w:val="none"/>
        </w:rPr>
      </w:pPr>
      <w:bookmarkStart w:id="1" w:name="_Toc82852696"/>
    </w:p>
    <w:p>
      <w:pPr>
        <w:keepNext w:val="0"/>
        <w:keepLines w:val="0"/>
        <w:pageBreakBefore w:val="0"/>
        <w:widowControl/>
        <w:kinsoku/>
        <w:wordWrap/>
        <w:overflowPunct/>
        <w:topLinePunct w:val="0"/>
        <w:autoSpaceDE/>
        <w:autoSpaceDN/>
        <w:bidi w:val="0"/>
        <w:spacing w:line="578" w:lineRule="exact"/>
        <w:jc w:val="center"/>
        <w:textAlignment w:val="auto"/>
        <w:outlineLvl w:val="0"/>
        <w:rPr>
          <w:rFonts w:hint="eastAsia" w:ascii="方正小标宋_GBK" w:hAnsi="Times New Roman" w:eastAsia="方正小标宋_GBK" w:cs="Times New Roman"/>
          <w:bCs/>
          <w:color w:val="auto"/>
          <w:kern w:val="36"/>
          <w:sz w:val="44"/>
          <w:szCs w:val="44"/>
          <w:highlight w:val="none"/>
        </w:rPr>
      </w:pPr>
    </w:p>
    <w:p>
      <w:pPr>
        <w:keepNext w:val="0"/>
        <w:keepLines w:val="0"/>
        <w:pageBreakBefore w:val="0"/>
        <w:widowControl/>
        <w:kinsoku/>
        <w:wordWrap/>
        <w:overflowPunct/>
        <w:topLinePunct w:val="0"/>
        <w:autoSpaceDE/>
        <w:autoSpaceDN/>
        <w:bidi w:val="0"/>
        <w:spacing w:line="578" w:lineRule="exact"/>
        <w:jc w:val="center"/>
        <w:textAlignment w:val="auto"/>
        <w:outlineLvl w:val="0"/>
        <w:rPr>
          <w:rFonts w:hint="eastAsia" w:ascii="方正小标宋_GBK" w:hAnsi="Times New Roman" w:eastAsia="方正小标宋_GBK" w:cs="Times New Roman"/>
          <w:bCs/>
          <w:color w:val="auto"/>
          <w:kern w:val="36"/>
          <w:sz w:val="44"/>
          <w:szCs w:val="44"/>
          <w:highlight w:val="none"/>
        </w:rPr>
      </w:pPr>
    </w:p>
    <w:p>
      <w:pPr>
        <w:keepNext w:val="0"/>
        <w:keepLines w:val="0"/>
        <w:pageBreakBefore w:val="0"/>
        <w:widowControl/>
        <w:kinsoku/>
        <w:wordWrap/>
        <w:overflowPunct/>
        <w:topLinePunct w:val="0"/>
        <w:autoSpaceDE/>
        <w:autoSpaceDN/>
        <w:bidi w:val="0"/>
        <w:spacing w:line="578" w:lineRule="exact"/>
        <w:jc w:val="center"/>
        <w:textAlignment w:val="auto"/>
        <w:outlineLvl w:val="0"/>
        <w:rPr>
          <w:rFonts w:hint="eastAsia" w:ascii="方正小标宋_GBK" w:hAnsi="Times New Roman" w:eastAsia="方正小标宋_GBK" w:cs="Times New Roman"/>
          <w:bCs/>
          <w:color w:val="auto"/>
          <w:kern w:val="36"/>
          <w:sz w:val="44"/>
          <w:szCs w:val="44"/>
          <w:highlight w:val="none"/>
        </w:rPr>
      </w:pPr>
    </w:p>
    <w:p>
      <w:pPr>
        <w:keepNext w:val="0"/>
        <w:keepLines w:val="0"/>
        <w:pageBreakBefore w:val="0"/>
        <w:widowControl/>
        <w:kinsoku/>
        <w:wordWrap/>
        <w:overflowPunct/>
        <w:topLinePunct w:val="0"/>
        <w:autoSpaceDE/>
        <w:autoSpaceDN/>
        <w:bidi w:val="0"/>
        <w:spacing w:line="578" w:lineRule="exact"/>
        <w:jc w:val="center"/>
        <w:textAlignment w:val="auto"/>
        <w:outlineLvl w:val="0"/>
        <w:rPr>
          <w:rFonts w:hint="eastAsia" w:ascii="方正小标宋_GBK" w:hAnsi="Times New Roman" w:eastAsia="方正小标宋_GBK" w:cs="Times New Roman"/>
          <w:bCs/>
          <w:color w:val="auto"/>
          <w:kern w:val="36"/>
          <w:sz w:val="44"/>
          <w:szCs w:val="44"/>
          <w:highlight w:val="none"/>
        </w:rPr>
      </w:pPr>
    </w:p>
    <w:p>
      <w:pPr>
        <w:keepNext w:val="0"/>
        <w:keepLines w:val="0"/>
        <w:pageBreakBefore w:val="0"/>
        <w:widowControl/>
        <w:kinsoku/>
        <w:wordWrap/>
        <w:overflowPunct/>
        <w:topLinePunct w:val="0"/>
        <w:autoSpaceDE/>
        <w:autoSpaceDN/>
        <w:bidi w:val="0"/>
        <w:spacing w:line="578" w:lineRule="exact"/>
        <w:jc w:val="center"/>
        <w:textAlignment w:val="auto"/>
        <w:outlineLvl w:val="0"/>
        <w:rPr>
          <w:rFonts w:hint="eastAsia" w:ascii="方正小标宋_GBK" w:hAnsi="Times New Roman" w:eastAsia="方正小标宋_GBK" w:cs="Times New Roman"/>
          <w:bCs/>
          <w:color w:val="auto"/>
          <w:kern w:val="36"/>
          <w:sz w:val="44"/>
          <w:szCs w:val="44"/>
          <w:highlight w:val="none"/>
        </w:rPr>
      </w:pPr>
      <w:r>
        <w:rPr>
          <w:rFonts w:hint="eastAsia" w:ascii="黑体" w:hAnsi="黑体" w:eastAsia="黑体" w:cs="黑体"/>
          <w:b w:val="0"/>
          <w:bCs/>
          <w:color w:val="auto"/>
          <w:kern w:val="36"/>
          <w:sz w:val="44"/>
          <w:szCs w:val="44"/>
          <w:highlight w:val="none"/>
        </w:rPr>
        <w:t>名词解释</w:t>
      </w:r>
      <w:bookmarkEnd w:id="1"/>
    </w:p>
    <w:p>
      <w:pPr>
        <w:keepNext w:val="0"/>
        <w:keepLines w:val="0"/>
        <w:pageBreakBefore w:val="0"/>
        <w:kinsoku/>
        <w:wordWrap/>
        <w:overflowPunct/>
        <w:topLinePunct w:val="0"/>
        <w:autoSpaceDE/>
        <w:autoSpaceDN/>
        <w:bidi w:val="0"/>
        <w:adjustRightInd w:val="0"/>
        <w:snapToGrid w:val="0"/>
        <w:spacing w:line="578"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iCs/>
          <w:color w:val="auto"/>
          <w:sz w:val="32"/>
          <w:szCs w:val="32"/>
          <w:highlight w:val="none"/>
        </w:rPr>
        <w:t>证照分离：</w:t>
      </w:r>
      <w:r>
        <w:rPr>
          <w:rFonts w:hint="eastAsia" w:ascii="仿宋_GB2312" w:hAnsi="仿宋_GB2312" w:eastAsia="仿宋_GB2312" w:cs="仿宋_GB2312"/>
          <w:color w:val="auto"/>
          <w:sz w:val="32"/>
          <w:szCs w:val="32"/>
          <w:highlight w:val="none"/>
        </w:rPr>
        <w:t>“证”是指相关行业主管部门颁发的经营许可证；“照”是指市场监管部门颁发的营业执照。“证照分离”改革针对与企业经营活动密切相关的许可事项，采用适当管理方式将许可类的“证”分离出来，尽可能减少审批发证，有效区分“证”“照”功能，着力破解“准入不准营”难题。市场主体取得营业执照即具备了主体资格，也标志着其具备了从事一般行业经营活动的经营资格，具有相关权利能力及行为能力。</w:t>
      </w:r>
    </w:p>
    <w:p>
      <w:pPr>
        <w:keepNext w:val="0"/>
        <w:keepLines w:val="0"/>
        <w:pageBreakBefore w:val="0"/>
        <w:kinsoku/>
        <w:wordWrap/>
        <w:overflowPunct/>
        <w:topLinePunct w:val="0"/>
        <w:autoSpaceDE/>
        <w:autoSpaceDN/>
        <w:bidi w:val="0"/>
        <w:spacing w:line="578"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iCs/>
          <w:color w:val="auto"/>
          <w:sz w:val="32"/>
          <w:szCs w:val="32"/>
          <w:highlight w:val="none"/>
        </w:rPr>
        <w:t>非禁即入：</w:t>
      </w:r>
      <w:r>
        <w:rPr>
          <w:rFonts w:hint="eastAsia" w:ascii="仿宋_GB2312" w:hAnsi="仿宋_GB2312" w:eastAsia="仿宋_GB2312" w:cs="仿宋_GB2312"/>
          <w:color w:val="auto"/>
          <w:sz w:val="32"/>
          <w:szCs w:val="32"/>
          <w:highlight w:val="none"/>
        </w:rPr>
        <w:t>是指在全国范围建立市场准入环节的负面清单管理模式，清单之外的行业、领域、业务等，市场主体可以依法平等进入。</w:t>
      </w:r>
    </w:p>
    <w:p>
      <w:pPr>
        <w:keepNext w:val="0"/>
        <w:keepLines w:val="0"/>
        <w:pageBreakBefore w:val="0"/>
        <w:kinsoku/>
        <w:wordWrap/>
        <w:overflowPunct/>
        <w:topLinePunct w:val="0"/>
        <w:autoSpaceDE/>
        <w:autoSpaceDN/>
        <w:bidi w:val="0"/>
        <w:adjustRightInd w:val="0"/>
        <w:snapToGrid w:val="0"/>
        <w:spacing w:line="578"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iCs/>
          <w:color w:val="auto"/>
          <w:sz w:val="32"/>
          <w:szCs w:val="32"/>
          <w:highlight w:val="none"/>
          <w:lang w:eastAsia="zh-CN"/>
        </w:rPr>
        <w:t>“</w:t>
      </w:r>
      <w:r>
        <w:rPr>
          <w:rFonts w:hint="eastAsia" w:ascii="仿宋_GB2312" w:hAnsi="仿宋_GB2312" w:eastAsia="仿宋_GB2312" w:cs="仿宋_GB2312"/>
          <w:b/>
          <w:bCs/>
          <w:iCs/>
          <w:color w:val="auto"/>
          <w:sz w:val="32"/>
          <w:szCs w:val="32"/>
          <w:highlight w:val="none"/>
        </w:rPr>
        <w:t>双随机、一公开”监管：</w:t>
      </w:r>
      <w:r>
        <w:rPr>
          <w:rFonts w:hint="eastAsia" w:ascii="仿宋_GB2312" w:hAnsi="仿宋_GB2312" w:eastAsia="仿宋_GB2312" w:cs="仿宋_GB2312"/>
          <w:color w:val="auto"/>
          <w:sz w:val="32"/>
          <w:szCs w:val="32"/>
          <w:highlight w:val="none"/>
        </w:rPr>
        <w:t>是指随机抽取检查对象、随机选派执法检查人员，公开抽查情况及查处结果。</w:t>
      </w:r>
    </w:p>
    <w:p>
      <w:pPr>
        <w:keepNext w:val="0"/>
        <w:keepLines w:val="0"/>
        <w:pageBreakBefore w:val="0"/>
        <w:kinsoku/>
        <w:wordWrap/>
        <w:overflowPunct/>
        <w:topLinePunct w:val="0"/>
        <w:autoSpaceDE/>
        <w:autoSpaceDN/>
        <w:bidi w:val="0"/>
        <w:adjustRightInd w:val="0"/>
        <w:snapToGrid w:val="0"/>
        <w:spacing w:line="578"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iCs/>
          <w:color w:val="auto"/>
          <w:sz w:val="32"/>
          <w:szCs w:val="32"/>
          <w:highlight w:val="none"/>
        </w:rPr>
        <w:t>ODR：</w:t>
      </w:r>
      <w:r>
        <w:rPr>
          <w:rFonts w:hint="eastAsia" w:ascii="仿宋_GB2312" w:hAnsi="仿宋_GB2312" w:eastAsia="仿宋_GB2312" w:cs="仿宋_GB2312"/>
          <w:color w:val="auto"/>
          <w:sz w:val="32"/>
          <w:szCs w:val="32"/>
          <w:highlight w:val="none"/>
        </w:rPr>
        <w:t>即在线矛盾纠纷多元化解（Online Dispute Resolution的英文缩写），是指为企业及消费者提供包括在线法律咨询、消费投诉、协商和解、调解、仲裁以及先行赔付在内的一站式纠纷处理服务。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z w:val="32"/>
          <w:szCs w:val="32"/>
          <w:highlight w:val="none"/>
          <w:lang w:val="en-US" w:eastAsia="zh-CN"/>
        </w:rPr>
      </w:pPr>
    </w:p>
    <w:sectPr>
      <w:footerReference r:id="rId3" w:type="default"/>
      <w:pgSz w:w="11906" w:h="16838"/>
      <w:pgMar w:top="2098" w:right="1474" w:bottom="1871" w:left="1587" w:header="851" w:footer="992" w:gutter="0"/>
      <w:pgNumType w:fmt="decimal"/>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59264;mso-width-relative:page;mso-height-relative:page;" filled="f" stroked="f" coordsize="21600,21600" o:gfxdata="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aYE7TTAAAACA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0FD9F"/>
    <w:multiLevelType w:val="singleLevel"/>
    <w:tmpl w:val="8840FD9F"/>
    <w:lvl w:ilvl="0" w:tentative="0">
      <w:start w:val="2"/>
      <w:numFmt w:val="chineseCounting"/>
      <w:suff w:val="nothing"/>
      <w:lvlText w:val="%1、"/>
      <w:lvlJc w:val="left"/>
      <w:rPr>
        <w:rFonts w:hint="eastAsia"/>
      </w:rPr>
    </w:lvl>
  </w:abstractNum>
  <w:abstractNum w:abstractNumId="1">
    <w:nsid w:val="B13E6C84"/>
    <w:multiLevelType w:val="singleLevel"/>
    <w:tmpl w:val="B13E6C84"/>
    <w:lvl w:ilvl="0" w:tentative="0">
      <w:start w:val="1"/>
      <w:numFmt w:val="chineseCounting"/>
      <w:suff w:val="nothing"/>
      <w:lvlText w:val="%1、"/>
      <w:lvlJc w:val="left"/>
      <w:rPr>
        <w:rFonts w:hint="eastAsia"/>
      </w:rPr>
    </w:lvl>
  </w:abstractNum>
  <w:abstractNum w:abstractNumId="2">
    <w:nsid w:val="FA52B298"/>
    <w:multiLevelType w:val="singleLevel"/>
    <w:tmpl w:val="FA52B298"/>
    <w:lvl w:ilvl="0" w:tentative="0">
      <w:start w:val="6"/>
      <w:numFmt w:val="chineseCounting"/>
      <w:suff w:val="nothing"/>
      <w:lvlText w:val="%1、"/>
      <w:lvlJc w:val="left"/>
      <w:rPr>
        <w:rFonts w:hint="eastAsia"/>
      </w:rPr>
    </w:lvl>
  </w:abstractNum>
  <w:abstractNum w:abstractNumId="3">
    <w:nsid w:val="5C200BF1"/>
    <w:multiLevelType w:val="singleLevel"/>
    <w:tmpl w:val="5C200BF1"/>
    <w:lvl w:ilvl="0" w:tentative="0">
      <w:start w:val="1"/>
      <w:numFmt w:val="chineseCounting"/>
      <w:suff w:val="nothing"/>
      <w:lvlText w:val="%1、"/>
      <w:lvlJc w:val="left"/>
      <w:pPr>
        <w:ind w:left="-10"/>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WQxNjdlMzQ3NTcyN2I4YmZiZTFhYTg3ZDA1YzAifQ=="/>
  </w:docVars>
  <w:rsids>
    <w:rsidRoot w:val="00000000"/>
    <w:rsid w:val="000D0E62"/>
    <w:rsid w:val="0065432D"/>
    <w:rsid w:val="00796D68"/>
    <w:rsid w:val="00D05CB1"/>
    <w:rsid w:val="00DD2FEE"/>
    <w:rsid w:val="00E0104E"/>
    <w:rsid w:val="00E93E9F"/>
    <w:rsid w:val="01277422"/>
    <w:rsid w:val="01426050"/>
    <w:rsid w:val="0145094B"/>
    <w:rsid w:val="0170562E"/>
    <w:rsid w:val="01747AAD"/>
    <w:rsid w:val="017E0DBE"/>
    <w:rsid w:val="01884EAA"/>
    <w:rsid w:val="01887290"/>
    <w:rsid w:val="019A6C0D"/>
    <w:rsid w:val="01B64CAE"/>
    <w:rsid w:val="01C47704"/>
    <w:rsid w:val="01E84D41"/>
    <w:rsid w:val="022E6D0E"/>
    <w:rsid w:val="02A7193E"/>
    <w:rsid w:val="035D42D2"/>
    <w:rsid w:val="03920938"/>
    <w:rsid w:val="03A75ADD"/>
    <w:rsid w:val="03BA5DA0"/>
    <w:rsid w:val="03D66268"/>
    <w:rsid w:val="03E05DC7"/>
    <w:rsid w:val="03F116B9"/>
    <w:rsid w:val="040472ED"/>
    <w:rsid w:val="04332CBE"/>
    <w:rsid w:val="043C5D47"/>
    <w:rsid w:val="04433315"/>
    <w:rsid w:val="045538F7"/>
    <w:rsid w:val="04631BCE"/>
    <w:rsid w:val="04752DA7"/>
    <w:rsid w:val="04A02969"/>
    <w:rsid w:val="04A8562A"/>
    <w:rsid w:val="05176FAD"/>
    <w:rsid w:val="05A559B8"/>
    <w:rsid w:val="05C5217B"/>
    <w:rsid w:val="05CF499B"/>
    <w:rsid w:val="063F6FF1"/>
    <w:rsid w:val="064A4075"/>
    <w:rsid w:val="067E3EEF"/>
    <w:rsid w:val="06832030"/>
    <w:rsid w:val="06834129"/>
    <w:rsid w:val="069B57F5"/>
    <w:rsid w:val="06A76FC5"/>
    <w:rsid w:val="06AA2D3C"/>
    <w:rsid w:val="06B65E8C"/>
    <w:rsid w:val="06BE754A"/>
    <w:rsid w:val="06C66942"/>
    <w:rsid w:val="06EA7AB0"/>
    <w:rsid w:val="075B113D"/>
    <w:rsid w:val="078F2E44"/>
    <w:rsid w:val="07A63900"/>
    <w:rsid w:val="07E76F0C"/>
    <w:rsid w:val="07EF4D3C"/>
    <w:rsid w:val="08154BFC"/>
    <w:rsid w:val="08454A9D"/>
    <w:rsid w:val="08745D59"/>
    <w:rsid w:val="08781C80"/>
    <w:rsid w:val="08850ACA"/>
    <w:rsid w:val="08EF649B"/>
    <w:rsid w:val="0906177C"/>
    <w:rsid w:val="09590FB5"/>
    <w:rsid w:val="09794C08"/>
    <w:rsid w:val="099A0AFA"/>
    <w:rsid w:val="09A56D37"/>
    <w:rsid w:val="09AF0001"/>
    <w:rsid w:val="09C81663"/>
    <w:rsid w:val="0A0F2013"/>
    <w:rsid w:val="0A1552F0"/>
    <w:rsid w:val="0A1F5784"/>
    <w:rsid w:val="0A4B08F9"/>
    <w:rsid w:val="0A5508EE"/>
    <w:rsid w:val="0A5D46F7"/>
    <w:rsid w:val="0A8D4C20"/>
    <w:rsid w:val="0AAA063F"/>
    <w:rsid w:val="0ACA0A44"/>
    <w:rsid w:val="0AE518B1"/>
    <w:rsid w:val="0B1C432A"/>
    <w:rsid w:val="0B376B74"/>
    <w:rsid w:val="0B585EC2"/>
    <w:rsid w:val="0B62626B"/>
    <w:rsid w:val="0B675DA1"/>
    <w:rsid w:val="0B82353C"/>
    <w:rsid w:val="0BA81867"/>
    <w:rsid w:val="0BD646C2"/>
    <w:rsid w:val="0BF541D9"/>
    <w:rsid w:val="0C1B4BF6"/>
    <w:rsid w:val="0C6B09F1"/>
    <w:rsid w:val="0C7D59AB"/>
    <w:rsid w:val="0C800CCF"/>
    <w:rsid w:val="0C9D15AC"/>
    <w:rsid w:val="0CB2383D"/>
    <w:rsid w:val="0CBB0F4C"/>
    <w:rsid w:val="0CCD08F0"/>
    <w:rsid w:val="0D43510D"/>
    <w:rsid w:val="0D842055"/>
    <w:rsid w:val="0DCD136F"/>
    <w:rsid w:val="0DD76921"/>
    <w:rsid w:val="0DDA2A64"/>
    <w:rsid w:val="0E1E21B1"/>
    <w:rsid w:val="0E2013EF"/>
    <w:rsid w:val="0E3164A8"/>
    <w:rsid w:val="0E7C76B4"/>
    <w:rsid w:val="0EAD0E57"/>
    <w:rsid w:val="0EB3166A"/>
    <w:rsid w:val="0ED575AD"/>
    <w:rsid w:val="0F027285"/>
    <w:rsid w:val="0F075197"/>
    <w:rsid w:val="0F156101"/>
    <w:rsid w:val="0F344947"/>
    <w:rsid w:val="0F560C31"/>
    <w:rsid w:val="0F953B8B"/>
    <w:rsid w:val="0F9D4E98"/>
    <w:rsid w:val="0FDE521C"/>
    <w:rsid w:val="0FED6F5F"/>
    <w:rsid w:val="102C57B6"/>
    <w:rsid w:val="10781440"/>
    <w:rsid w:val="108A3CA7"/>
    <w:rsid w:val="109E7A14"/>
    <w:rsid w:val="10A73B23"/>
    <w:rsid w:val="10A827E9"/>
    <w:rsid w:val="10B578B4"/>
    <w:rsid w:val="10E46BE1"/>
    <w:rsid w:val="10F72ACD"/>
    <w:rsid w:val="11014C5D"/>
    <w:rsid w:val="11396304"/>
    <w:rsid w:val="116109AB"/>
    <w:rsid w:val="11EC3CEA"/>
    <w:rsid w:val="11ED2F6E"/>
    <w:rsid w:val="11F46138"/>
    <w:rsid w:val="12363634"/>
    <w:rsid w:val="12785D49"/>
    <w:rsid w:val="12803655"/>
    <w:rsid w:val="12B54081"/>
    <w:rsid w:val="12B91D6C"/>
    <w:rsid w:val="12BC690E"/>
    <w:rsid w:val="12D51291"/>
    <w:rsid w:val="12E40260"/>
    <w:rsid w:val="12E42652"/>
    <w:rsid w:val="1301138D"/>
    <w:rsid w:val="131D6D32"/>
    <w:rsid w:val="13405AF0"/>
    <w:rsid w:val="13BD3F3F"/>
    <w:rsid w:val="14070684"/>
    <w:rsid w:val="14332B3A"/>
    <w:rsid w:val="147F7571"/>
    <w:rsid w:val="14AA4027"/>
    <w:rsid w:val="15225402"/>
    <w:rsid w:val="15243AB9"/>
    <w:rsid w:val="152D7715"/>
    <w:rsid w:val="153D3BB5"/>
    <w:rsid w:val="158C66B9"/>
    <w:rsid w:val="15AB3070"/>
    <w:rsid w:val="15DC6CDF"/>
    <w:rsid w:val="15EF1274"/>
    <w:rsid w:val="162914AD"/>
    <w:rsid w:val="163117A0"/>
    <w:rsid w:val="163C0356"/>
    <w:rsid w:val="16684BC9"/>
    <w:rsid w:val="166C59E6"/>
    <w:rsid w:val="16835B7D"/>
    <w:rsid w:val="168916F9"/>
    <w:rsid w:val="16C90941"/>
    <w:rsid w:val="170E3441"/>
    <w:rsid w:val="174832AC"/>
    <w:rsid w:val="17705A43"/>
    <w:rsid w:val="17742A2A"/>
    <w:rsid w:val="17F93E03"/>
    <w:rsid w:val="17FA1B2C"/>
    <w:rsid w:val="183F0B00"/>
    <w:rsid w:val="18412115"/>
    <w:rsid w:val="187870D6"/>
    <w:rsid w:val="189A032D"/>
    <w:rsid w:val="18AA6CCD"/>
    <w:rsid w:val="18C0260F"/>
    <w:rsid w:val="18CD4279"/>
    <w:rsid w:val="18D84479"/>
    <w:rsid w:val="18E26AA5"/>
    <w:rsid w:val="18E66338"/>
    <w:rsid w:val="18FE213D"/>
    <w:rsid w:val="195731DE"/>
    <w:rsid w:val="195B214B"/>
    <w:rsid w:val="197B611D"/>
    <w:rsid w:val="19873367"/>
    <w:rsid w:val="19C27A7A"/>
    <w:rsid w:val="19CD29A3"/>
    <w:rsid w:val="19E17D52"/>
    <w:rsid w:val="19ED7987"/>
    <w:rsid w:val="19FD20C5"/>
    <w:rsid w:val="19FF4F7C"/>
    <w:rsid w:val="1A0F6AE1"/>
    <w:rsid w:val="1A782F87"/>
    <w:rsid w:val="1AA67B61"/>
    <w:rsid w:val="1AE378DC"/>
    <w:rsid w:val="1AE542F8"/>
    <w:rsid w:val="1AEB1A0E"/>
    <w:rsid w:val="1B285DAF"/>
    <w:rsid w:val="1B337913"/>
    <w:rsid w:val="1B463128"/>
    <w:rsid w:val="1B8A118F"/>
    <w:rsid w:val="1B933F57"/>
    <w:rsid w:val="1BAA4B1C"/>
    <w:rsid w:val="1BC90815"/>
    <w:rsid w:val="1BED489C"/>
    <w:rsid w:val="1C0D6E2C"/>
    <w:rsid w:val="1C185AE8"/>
    <w:rsid w:val="1C240A2B"/>
    <w:rsid w:val="1C6B7B9B"/>
    <w:rsid w:val="1C7706AA"/>
    <w:rsid w:val="1C816C81"/>
    <w:rsid w:val="1CB27C72"/>
    <w:rsid w:val="1D1B315E"/>
    <w:rsid w:val="1D35592F"/>
    <w:rsid w:val="1D404D01"/>
    <w:rsid w:val="1D516924"/>
    <w:rsid w:val="1D872B5F"/>
    <w:rsid w:val="1D885039"/>
    <w:rsid w:val="1D961D07"/>
    <w:rsid w:val="1DAF3556"/>
    <w:rsid w:val="1DCE44AC"/>
    <w:rsid w:val="1DD640D7"/>
    <w:rsid w:val="1DFD24CC"/>
    <w:rsid w:val="1E0C67D5"/>
    <w:rsid w:val="1E260FB3"/>
    <w:rsid w:val="1E2D0F4E"/>
    <w:rsid w:val="1E403692"/>
    <w:rsid w:val="1E42322D"/>
    <w:rsid w:val="1EA52EDD"/>
    <w:rsid w:val="1F042D0C"/>
    <w:rsid w:val="1F184F0D"/>
    <w:rsid w:val="1F9E245F"/>
    <w:rsid w:val="1F9F3BC2"/>
    <w:rsid w:val="1FAE4850"/>
    <w:rsid w:val="1FB210C5"/>
    <w:rsid w:val="1FB60D01"/>
    <w:rsid w:val="1FDF0DB7"/>
    <w:rsid w:val="1FEC6356"/>
    <w:rsid w:val="200261B8"/>
    <w:rsid w:val="20261BD3"/>
    <w:rsid w:val="2028068E"/>
    <w:rsid w:val="20362E53"/>
    <w:rsid w:val="20421584"/>
    <w:rsid w:val="204D61F9"/>
    <w:rsid w:val="205A06F9"/>
    <w:rsid w:val="2077623F"/>
    <w:rsid w:val="20830A03"/>
    <w:rsid w:val="2090406E"/>
    <w:rsid w:val="209306EB"/>
    <w:rsid w:val="20A7442A"/>
    <w:rsid w:val="20B02744"/>
    <w:rsid w:val="20B77545"/>
    <w:rsid w:val="212B7D15"/>
    <w:rsid w:val="213103BB"/>
    <w:rsid w:val="215C4A95"/>
    <w:rsid w:val="21C04313"/>
    <w:rsid w:val="21D46966"/>
    <w:rsid w:val="21E231A8"/>
    <w:rsid w:val="21E7734A"/>
    <w:rsid w:val="21FD2B02"/>
    <w:rsid w:val="2218021E"/>
    <w:rsid w:val="223F6A6A"/>
    <w:rsid w:val="22436372"/>
    <w:rsid w:val="227F33C6"/>
    <w:rsid w:val="229531EF"/>
    <w:rsid w:val="22BF5A9A"/>
    <w:rsid w:val="22FA6FEB"/>
    <w:rsid w:val="23092151"/>
    <w:rsid w:val="235F3195"/>
    <w:rsid w:val="236F371E"/>
    <w:rsid w:val="2371024E"/>
    <w:rsid w:val="237619D5"/>
    <w:rsid w:val="23BB2CD6"/>
    <w:rsid w:val="23D30314"/>
    <w:rsid w:val="23F3001A"/>
    <w:rsid w:val="23FE4422"/>
    <w:rsid w:val="24336413"/>
    <w:rsid w:val="24564A9C"/>
    <w:rsid w:val="247D1C30"/>
    <w:rsid w:val="24B34A38"/>
    <w:rsid w:val="24C77627"/>
    <w:rsid w:val="251852B3"/>
    <w:rsid w:val="25687328"/>
    <w:rsid w:val="25A25F27"/>
    <w:rsid w:val="25B340A9"/>
    <w:rsid w:val="25B806AB"/>
    <w:rsid w:val="26022E2B"/>
    <w:rsid w:val="26472CEF"/>
    <w:rsid w:val="26590C88"/>
    <w:rsid w:val="266B1299"/>
    <w:rsid w:val="266C1178"/>
    <w:rsid w:val="267A48FD"/>
    <w:rsid w:val="26A856FB"/>
    <w:rsid w:val="27041EC9"/>
    <w:rsid w:val="272F0ECD"/>
    <w:rsid w:val="27344C84"/>
    <w:rsid w:val="27370EBD"/>
    <w:rsid w:val="27735D11"/>
    <w:rsid w:val="27A408A8"/>
    <w:rsid w:val="27AA16EA"/>
    <w:rsid w:val="27BC441E"/>
    <w:rsid w:val="27E1549A"/>
    <w:rsid w:val="281A7F17"/>
    <w:rsid w:val="28302703"/>
    <w:rsid w:val="28527499"/>
    <w:rsid w:val="286052B2"/>
    <w:rsid w:val="286247DD"/>
    <w:rsid w:val="288807BA"/>
    <w:rsid w:val="28A559C8"/>
    <w:rsid w:val="28AE3CB8"/>
    <w:rsid w:val="28B3748D"/>
    <w:rsid w:val="28B411FD"/>
    <w:rsid w:val="28E42F0B"/>
    <w:rsid w:val="28FB0CA9"/>
    <w:rsid w:val="28FE59B6"/>
    <w:rsid w:val="296672C6"/>
    <w:rsid w:val="29693DBB"/>
    <w:rsid w:val="29804C59"/>
    <w:rsid w:val="29881AE3"/>
    <w:rsid w:val="298B48D1"/>
    <w:rsid w:val="299501E6"/>
    <w:rsid w:val="299934D4"/>
    <w:rsid w:val="299B4447"/>
    <w:rsid w:val="29AF6F86"/>
    <w:rsid w:val="29C5285E"/>
    <w:rsid w:val="29E51E0B"/>
    <w:rsid w:val="2A021D9C"/>
    <w:rsid w:val="2A065B18"/>
    <w:rsid w:val="2A1E03C1"/>
    <w:rsid w:val="2A2565E7"/>
    <w:rsid w:val="2A4E3646"/>
    <w:rsid w:val="2A5A282F"/>
    <w:rsid w:val="2A5D6804"/>
    <w:rsid w:val="2A863831"/>
    <w:rsid w:val="2A9C532D"/>
    <w:rsid w:val="2AAD2592"/>
    <w:rsid w:val="2AC778B4"/>
    <w:rsid w:val="2ACD12CD"/>
    <w:rsid w:val="2B015C18"/>
    <w:rsid w:val="2B3349D1"/>
    <w:rsid w:val="2B6A49F8"/>
    <w:rsid w:val="2B6E7AD1"/>
    <w:rsid w:val="2B825308"/>
    <w:rsid w:val="2BA07879"/>
    <w:rsid w:val="2BAD40B4"/>
    <w:rsid w:val="2BC141AB"/>
    <w:rsid w:val="2BD37712"/>
    <w:rsid w:val="2BEB4B0C"/>
    <w:rsid w:val="2C4D7A97"/>
    <w:rsid w:val="2C8C4C77"/>
    <w:rsid w:val="2CA41C61"/>
    <w:rsid w:val="2CA4385F"/>
    <w:rsid w:val="2CE056D6"/>
    <w:rsid w:val="2CE34A5B"/>
    <w:rsid w:val="2CF32096"/>
    <w:rsid w:val="2D1A429A"/>
    <w:rsid w:val="2D2C4BD4"/>
    <w:rsid w:val="2D2F4CE2"/>
    <w:rsid w:val="2D322358"/>
    <w:rsid w:val="2D9B4139"/>
    <w:rsid w:val="2DA009B5"/>
    <w:rsid w:val="2DFD464E"/>
    <w:rsid w:val="2E1123B7"/>
    <w:rsid w:val="2E126A19"/>
    <w:rsid w:val="2E834582"/>
    <w:rsid w:val="2E866499"/>
    <w:rsid w:val="2ED203B8"/>
    <w:rsid w:val="2F0D3DEE"/>
    <w:rsid w:val="2F2030FA"/>
    <w:rsid w:val="2F6D73F2"/>
    <w:rsid w:val="2F7C5995"/>
    <w:rsid w:val="2FC71707"/>
    <w:rsid w:val="30047DAE"/>
    <w:rsid w:val="30160E4D"/>
    <w:rsid w:val="301B11D7"/>
    <w:rsid w:val="303D48FC"/>
    <w:rsid w:val="30437A1D"/>
    <w:rsid w:val="30573A1A"/>
    <w:rsid w:val="306047EC"/>
    <w:rsid w:val="30696D0B"/>
    <w:rsid w:val="306D1244"/>
    <w:rsid w:val="308D1759"/>
    <w:rsid w:val="30B33A2C"/>
    <w:rsid w:val="30C20D39"/>
    <w:rsid w:val="310A4362"/>
    <w:rsid w:val="311B274D"/>
    <w:rsid w:val="31761776"/>
    <w:rsid w:val="317E0B24"/>
    <w:rsid w:val="31C431E9"/>
    <w:rsid w:val="31E362F3"/>
    <w:rsid w:val="31E875F4"/>
    <w:rsid w:val="32120A13"/>
    <w:rsid w:val="32133F2D"/>
    <w:rsid w:val="32155054"/>
    <w:rsid w:val="325502BE"/>
    <w:rsid w:val="328E4BE1"/>
    <w:rsid w:val="32B45263"/>
    <w:rsid w:val="32BA7E4D"/>
    <w:rsid w:val="331A79A5"/>
    <w:rsid w:val="33305A6F"/>
    <w:rsid w:val="333B214A"/>
    <w:rsid w:val="338E7BBA"/>
    <w:rsid w:val="33A65A75"/>
    <w:rsid w:val="33A967C2"/>
    <w:rsid w:val="33D913B6"/>
    <w:rsid w:val="33EB55CD"/>
    <w:rsid w:val="34123E4B"/>
    <w:rsid w:val="3424334C"/>
    <w:rsid w:val="343529E3"/>
    <w:rsid w:val="34400B46"/>
    <w:rsid w:val="34617242"/>
    <w:rsid w:val="34801001"/>
    <w:rsid w:val="348F6196"/>
    <w:rsid w:val="34B84043"/>
    <w:rsid w:val="34BC6926"/>
    <w:rsid w:val="34F53D07"/>
    <w:rsid w:val="356466D8"/>
    <w:rsid w:val="356F31DD"/>
    <w:rsid w:val="358118C8"/>
    <w:rsid w:val="35921BF1"/>
    <w:rsid w:val="35F35F6C"/>
    <w:rsid w:val="364512EE"/>
    <w:rsid w:val="36566BA4"/>
    <w:rsid w:val="365F3115"/>
    <w:rsid w:val="366813F5"/>
    <w:rsid w:val="367731FC"/>
    <w:rsid w:val="367A5B25"/>
    <w:rsid w:val="368A6B13"/>
    <w:rsid w:val="369E79B1"/>
    <w:rsid w:val="36B57CB4"/>
    <w:rsid w:val="36E31CF3"/>
    <w:rsid w:val="36EC04D7"/>
    <w:rsid w:val="36F441F9"/>
    <w:rsid w:val="371F1F41"/>
    <w:rsid w:val="37295BDB"/>
    <w:rsid w:val="37374F5D"/>
    <w:rsid w:val="37402662"/>
    <w:rsid w:val="37522517"/>
    <w:rsid w:val="375228BA"/>
    <w:rsid w:val="375E77E6"/>
    <w:rsid w:val="37645546"/>
    <w:rsid w:val="3792713D"/>
    <w:rsid w:val="37FF2FF2"/>
    <w:rsid w:val="38401823"/>
    <w:rsid w:val="38991525"/>
    <w:rsid w:val="38EA5854"/>
    <w:rsid w:val="39181829"/>
    <w:rsid w:val="39452A96"/>
    <w:rsid w:val="39592FA6"/>
    <w:rsid w:val="39661EF1"/>
    <w:rsid w:val="39D132A7"/>
    <w:rsid w:val="39D73458"/>
    <w:rsid w:val="39F27729"/>
    <w:rsid w:val="39F47C5C"/>
    <w:rsid w:val="3A1932C6"/>
    <w:rsid w:val="3A422AE4"/>
    <w:rsid w:val="3A472846"/>
    <w:rsid w:val="3A6061B7"/>
    <w:rsid w:val="3A745A6A"/>
    <w:rsid w:val="3A823339"/>
    <w:rsid w:val="3A913CBC"/>
    <w:rsid w:val="3AAB76B2"/>
    <w:rsid w:val="3ABE7C10"/>
    <w:rsid w:val="3AD96623"/>
    <w:rsid w:val="3AE10977"/>
    <w:rsid w:val="3AF67CDE"/>
    <w:rsid w:val="3B3C133D"/>
    <w:rsid w:val="3B4310C5"/>
    <w:rsid w:val="3B4644A6"/>
    <w:rsid w:val="3B70651D"/>
    <w:rsid w:val="3B776C42"/>
    <w:rsid w:val="3B7D4540"/>
    <w:rsid w:val="3B987B44"/>
    <w:rsid w:val="3BC263A9"/>
    <w:rsid w:val="3BD228F4"/>
    <w:rsid w:val="3BE649B8"/>
    <w:rsid w:val="3BF026E8"/>
    <w:rsid w:val="3C055C48"/>
    <w:rsid w:val="3C0C7CCB"/>
    <w:rsid w:val="3C162300"/>
    <w:rsid w:val="3C1A7425"/>
    <w:rsid w:val="3C3D1D16"/>
    <w:rsid w:val="3CB255EC"/>
    <w:rsid w:val="3CC67F9C"/>
    <w:rsid w:val="3CC86B51"/>
    <w:rsid w:val="3CDB02D9"/>
    <w:rsid w:val="3D0E1260"/>
    <w:rsid w:val="3D1E477C"/>
    <w:rsid w:val="3D25674A"/>
    <w:rsid w:val="3D2A1E4D"/>
    <w:rsid w:val="3D662CD0"/>
    <w:rsid w:val="3DC4687C"/>
    <w:rsid w:val="3DCC4668"/>
    <w:rsid w:val="3DEA5F9A"/>
    <w:rsid w:val="3DFE37F0"/>
    <w:rsid w:val="3E235238"/>
    <w:rsid w:val="3E306243"/>
    <w:rsid w:val="3E3E6E0C"/>
    <w:rsid w:val="3E401772"/>
    <w:rsid w:val="3E593535"/>
    <w:rsid w:val="3E952FAD"/>
    <w:rsid w:val="3EAA1147"/>
    <w:rsid w:val="3EB108EE"/>
    <w:rsid w:val="3EB97058"/>
    <w:rsid w:val="3ECB690E"/>
    <w:rsid w:val="3F060358"/>
    <w:rsid w:val="3F090EF3"/>
    <w:rsid w:val="3F23342C"/>
    <w:rsid w:val="3F2F0C02"/>
    <w:rsid w:val="3F32382C"/>
    <w:rsid w:val="3F375338"/>
    <w:rsid w:val="3F506C7E"/>
    <w:rsid w:val="3F5C5D46"/>
    <w:rsid w:val="3F970E5F"/>
    <w:rsid w:val="3F980CF3"/>
    <w:rsid w:val="40045FF9"/>
    <w:rsid w:val="401327AE"/>
    <w:rsid w:val="406958A1"/>
    <w:rsid w:val="407D78F6"/>
    <w:rsid w:val="40AF08DC"/>
    <w:rsid w:val="40DC6094"/>
    <w:rsid w:val="40F35C48"/>
    <w:rsid w:val="413C4D7A"/>
    <w:rsid w:val="41440E6A"/>
    <w:rsid w:val="414F47FA"/>
    <w:rsid w:val="415F36C4"/>
    <w:rsid w:val="416E04E4"/>
    <w:rsid w:val="418B388F"/>
    <w:rsid w:val="418E40A8"/>
    <w:rsid w:val="41B044F8"/>
    <w:rsid w:val="41B2170D"/>
    <w:rsid w:val="41B762BA"/>
    <w:rsid w:val="41C15627"/>
    <w:rsid w:val="41D0024C"/>
    <w:rsid w:val="41E32492"/>
    <w:rsid w:val="41E62E73"/>
    <w:rsid w:val="422C5A40"/>
    <w:rsid w:val="42AC2510"/>
    <w:rsid w:val="42B0539B"/>
    <w:rsid w:val="42DD3F17"/>
    <w:rsid w:val="42EE5E36"/>
    <w:rsid w:val="42F00411"/>
    <w:rsid w:val="430634F4"/>
    <w:rsid w:val="430D44AA"/>
    <w:rsid w:val="43184B80"/>
    <w:rsid w:val="431D617F"/>
    <w:rsid w:val="4352000F"/>
    <w:rsid w:val="43635952"/>
    <w:rsid w:val="437B6C3E"/>
    <w:rsid w:val="439568A8"/>
    <w:rsid w:val="43961A49"/>
    <w:rsid w:val="43B60332"/>
    <w:rsid w:val="43BF77D2"/>
    <w:rsid w:val="43CC3768"/>
    <w:rsid w:val="441F10A2"/>
    <w:rsid w:val="44223D6F"/>
    <w:rsid w:val="44266061"/>
    <w:rsid w:val="44816A06"/>
    <w:rsid w:val="44DB2A80"/>
    <w:rsid w:val="44EA6708"/>
    <w:rsid w:val="44EB391D"/>
    <w:rsid w:val="45651DC8"/>
    <w:rsid w:val="456A2F31"/>
    <w:rsid w:val="45BB67B7"/>
    <w:rsid w:val="45E15A38"/>
    <w:rsid w:val="45E80597"/>
    <w:rsid w:val="46343022"/>
    <w:rsid w:val="464438E8"/>
    <w:rsid w:val="46444298"/>
    <w:rsid w:val="46504E70"/>
    <w:rsid w:val="466C4145"/>
    <w:rsid w:val="46C23B5A"/>
    <w:rsid w:val="47130FA3"/>
    <w:rsid w:val="4729449D"/>
    <w:rsid w:val="47700125"/>
    <w:rsid w:val="478865E4"/>
    <w:rsid w:val="479A4661"/>
    <w:rsid w:val="47AE4282"/>
    <w:rsid w:val="47CF411E"/>
    <w:rsid w:val="47DF0536"/>
    <w:rsid w:val="482B7423"/>
    <w:rsid w:val="484C25A2"/>
    <w:rsid w:val="486C2CD8"/>
    <w:rsid w:val="48733F81"/>
    <w:rsid w:val="48D240B4"/>
    <w:rsid w:val="48E43051"/>
    <w:rsid w:val="48FE3921"/>
    <w:rsid w:val="49054035"/>
    <w:rsid w:val="49451B7F"/>
    <w:rsid w:val="494D160A"/>
    <w:rsid w:val="49605729"/>
    <w:rsid w:val="49A865BE"/>
    <w:rsid w:val="49BB314F"/>
    <w:rsid w:val="49C46951"/>
    <w:rsid w:val="49D00883"/>
    <w:rsid w:val="49E53BC8"/>
    <w:rsid w:val="49EB2A68"/>
    <w:rsid w:val="4A1B4D7E"/>
    <w:rsid w:val="4A3538A5"/>
    <w:rsid w:val="4A436643"/>
    <w:rsid w:val="4A4B685D"/>
    <w:rsid w:val="4AD71DFB"/>
    <w:rsid w:val="4B017A7B"/>
    <w:rsid w:val="4B041D6D"/>
    <w:rsid w:val="4B223996"/>
    <w:rsid w:val="4B303182"/>
    <w:rsid w:val="4B3E1BC2"/>
    <w:rsid w:val="4B4B3C11"/>
    <w:rsid w:val="4B4C7412"/>
    <w:rsid w:val="4B535348"/>
    <w:rsid w:val="4B702849"/>
    <w:rsid w:val="4BDB2436"/>
    <w:rsid w:val="4C4C73A6"/>
    <w:rsid w:val="4C763742"/>
    <w:rsid w:val="4C7E421F"/>
    <w:rsid w:val="4C8D5B37"/>
    <w:rsid w:val="4CB04114"/>
    <w:rsid w:val="4CFC275E"/>
    <w:rsid w:val="4D3446FE"/>
    <w:rsid w:val="4D4F245B"/>
    <w:rsid w:val="4D6059C8"/>
    <w:rsid w:val="4DB144C5"/>
    <w:rsid w:val="4DB7791A"/>
    <w:rsid w:val="4DB93E65"/>
    <w:rsid w:val="4DBC00E3"/>
    <w:rsid w:val="4DE5137C"/>
    <w:rsid w:val="4DE54CBB"/>
    <w:rsid w:val="4DF033C4"/>
    <w:rsid w:val="4DF4182F"/>
    <w:rsid w:val="4DF91A47"/>
    <w:rsid w:val="4E05416F"/>
    <w:rsid w:val="4E1330DC"/>
    <w:rsid w:val="4E17225B"/>
    <w:rsid w:val="4E291D3F"/>
    <w:rsid w:val="4E3E2384"/>
    <w:rsid w:val="4E4445F4"/>
    <w:rsid w:val="4E6B385D"/>
    <w:rsid w:val="4E6E37A6"/>
    <w:rsid w:val="4E944E8E"/>
    <w:rsid w:val="4EC67529"/>
    <w:rsid w:val="4F501713"/>
    <w:rsid w:val="4F70073B"/>
    <w:rsid w:val="4F7765E5"/>
    <w:rsid w:val="4FA55892"/>
    <w:rsid w:val="4FD0022F"/>
    <w:rsid w:val="4FD80D12"/>
    <w:rsid w:val="4FF02FC1"/>
    <w:rsid w:val="4FFE0F4D"/>
    <w:rsid w:val="500F74C4"/>
    <w:rsid w:val="50136939"/>
    <w:rsid w:val="50263B68"/>
    <w:rsid w:val="50915FC9"/>
    <w:rsid w:val="50937CB6"/>
    <w:rsid w:val="50A17EFA"/>
    <w:rsid w:val="50B5622E"/>
    <w:rsid w:val="51170735"/>
    <w:rsid w:val="51352116"/>
    <w:rsid w:val="5146112B"/>
    <w:rsid w:val="51544B9B"/>
    <w:rsid w:val="51571790"/>
    <w:rsid w:val="515B33D1"/>
    <w:rsid w:val="51881E27"/>
    <w:rsid w:val="51897274"/>
    <w:rsid w:val="51AE0DCA"/>
    <w:rsid w:val="51DB1994"/>
    <w:rsid w:val="51F2101F"/>
    <w:rsid w:val="5203256C"/>
    <w:rsid w:val="520A29FA"/>
    <w:rsid w:val="523B3DA0"/>
    <w:rsid w:val="524D66A0"/>
    <w:rsid w:val="52785157"/>
    <w:rsid w:val="52806DBD"/>
    <w:rsid w:val="528A5E83"/>
    <w:rsid w:val="52A63601"/>
    <w:rsid w:val="52B353D9"/>
    <w:rsid w:val="52EA5817"/>
    <w:rsid w:val="532D13D8"/>
    <w:rsid w:val="53346473"/>
    <w:rsid w:val="53410587"/>
    <w:rsid w:val="534A6C04"/>
    <w:rsid w:val="53570D95"/>
    <w:rsid w:val="53C17E90"/>
    <w:rsid w:val="53DB2159"/>
    <w:rsid w:val="53E61C3E"/>
    <w:rsid w:val="540070DC"/>
    <w:rsid w:val="5445080F"/>
    <w:rsid w:val="545E7463"/>
    <w:rsid w:val="546676C3"/>
    <w:rsid w:val="549D04D6"/>
    <w:rsid w:val="54A4696F"/>
    <w:rsid w:val="54B22F58"/>
    <w:rsid w:val="54BD3935"/>
    <w:rsid w:val="54D91BFD"/>
    <w:rsid w:val="55513995"/>
    <w:rsid w:val="55670732"/>
    <w:rsid w:val="5586124E"/>
    <w:rsid w:val="56250BB2"/>
    <w:rsid w:val="567D5149"/>
    <w:rsid w:val="56A36325"/>
    <w:rsid w:val="56F83149"/>
    <w:rsid w:val="56FB4401"/>
    <w:rsid w:val="5718017A"/>
    <w:rsid w:val="571F482B"/>
    <w:rsid w:val="578F2E03"/>
    <w:rsid w:val="57FE4A50"/>
    <w:rsid w:val="58593F57"/>
    <w:rsid w:val="585B5C90"/>
    <w:rsid w:val="58716E01"/>
    <w:rsid w:val="587F6CFD"/>
    <w:rsid w:val="5897083A"/>
    <w:rsid w:val="58971487"/>
    <w:rsid w:val="589F04DA"/>
    <w:rsid w:val="58A6574D"/>
    <w:rsid w:val="58BB0809"/>
    <w:rsid w:val="592015FD"/>
    <w:rsid w:val="59275DC1"/>
    <w:rsid w:val="593F2DA5"/>
    <w:rsid w:val="59804E01"/>
    <w:rsid w:val="598E2BC2"/>
    <w:rsid w:val="59991315"/>
    <w:rsid w:val="59991D74"/>
    <w:rsid w:val="599F574B"/>
    <w:rsid w:val="59A2474E"/>
    <w:rsid w:val="59AA2AEB"/>
    <w:rsid w:val="59B20D01"/>
    <w:rsid w:val="59C630B0"/>
    <w:rsid w:val="59E57587"/>
    <w:rsid w:val="5A14508E"/>
    <w:rsid w:val="5A17691E"/>
    <w:rsid w:val="5A3257DD"/>
    <w:rsid w:val="5A6C775F"/>
    <w:rsid w:val="5A7075C6"/>
    <w:rsid w:val="5A7F5372"/>
    <w:rsid w:val="5A861473"/>
    <w:rsid w:val="5A9D78BF"/>
    <w:rsid w:val="5AA50508"/>
    <w:rsid w:val="5AB77897"/>
    <w:rsid w:val="5AC166B3"/>
    <w:rsid w:val="5B055B14"/>
    <w:rsid w:val="5B344635"/>
    <w:rsid w:val="5B365AC1"/>
    <w:rsid w:val="5B4955CD"/>
    <w:rsid w:val="5B5C70A6"/>
    <w:rsid w:val="5B65432B"/>
    <w:rsid w:val="5B6E13A2"/>
    <w:rsid w:val="5B720410"/>
    <w:rsid w:val="5BDB37BF"/>
    <w:rsid w:val="5BEF4386"/>
    <w:rsid w:val="5C1D2660"/>
    <w:rsid w:val="5C2553E1"/>
    <w:rsid w:val="5C260936"/>
    <w:rsid w:val="5C683E80"/>
    <w:rsid w:val="5C751600"/>
    <w:rsid w:val="5C835F30"/>
    <w:rsid w:val="5CBD62EE"/>
    <w:rsid w:val="5D130B59"/>
    <w:rsid w:val="5D35486A"/>
    <w:rsid w:val="5D4028E8"/>
    <w:rsid w:val="5D494395"/>
    <w:rsid w:val="5D974CFC"/>
    <w:rsid w:val="5D983874"/>
    <w:rsid w:val="5DC81923"/>
    <w:rsid w:val="5DF11F93"/>
    <w:rsid w:val="5E02130C"/>
    <w:rsid w:val="5E2102F5"/>
    <w:rsid w:val="5E6B1240"/>
    <w:rsid w:val="5E856D9A"/>
    <w:rsid w:val="5EB456F1"/>
    <w:rsid w:val="5ECE65A6"/>
    <w:rsid w:val="5EF71ABC"/>
    <w:rsid w:val="5F18076F"/>
    <w:rsid w:val="5F242EC5"/>
    <w:rsid w:val="5F387ECF"/>
    <w:rsid w:val="5F3A4EBE"/>
    <w:rsid w:val="5F4035FC"/>
    <w:rsid w:val="5F562C83"/>
    <w:rsid w:val="5F727627"/>
    <w:rsid w:val="5FDB0211"/>
    <w:rsid w:val="5FE4146E"/>
    <w:rsid w:val="5FF40D09"/>
    <w:rsid w:val="600F191A"/>
    <w:rsid w:val="601A326D"/>
    <w:rsid w:val="601C5601"/>
    <w:rsid w:val="602A391A"/>
    <w:rsid w:val="604F2CC6"/>
    <w:rsid w:val="60695952"/>
    <w:rsid w:val="606C119D"/>
    <w:rsid w:val="609715A5"/>
    <w:rsid w:val="60AB24D1"/>
    <w:rsid w:val="60C25B06"/>
    <w:rsid w:val="60C278CC"/>
    <w:rsid w:val="60FE6FC0"/>
    <w:rsid w:val="61584C6E"/>
    <w:rsid w:val="61A72229"/>
    <w:rsid w:val="61D75D0A"/>
    <w:rsid w:val="61DD0755"/>
    <w:rsid w:val="61EF7525"/>
    <w:rsid w:val="62022099"/>
    <w:rsid w:val="62044475"/>
    <w:rsid w:val="62105549"/>
    <w:rsid w:val="62464BAD"/>
    <w:rsid w:val="625F2B9A"/>
    <w:rsid w:val="62A70DAA"/>
    <w:rsid w:val="62BB2042"/>
    <w:rsid w:val="62E75DE6"/>
    <w:rsid w:val="631573EC"/>
    <w:rsid w:val="633F7C2B"/>
    <w:rsid w:val="6342314A"/>
    <w:rsid w:val="6369738F"/>
    <w:rsid w:val="63824FAC"/>
    <w:rsid w:val="63891694"/>
    <w:rsid w:val="639940B5"/>
    <w:rsid w:val="639C419E"/>
    <w:rsid w:val="63A3544A"/>
    <w:rsid w:val="63B12400"/>
    <w:rsid w:val="63D14753"/>
    <w:rsid w:val="63E173A0"/>
    <w:rsid w:val="64093935"/>
    <w:rsid w:val="640B5DA7"/>
    <w:rsid w:val="64122113"/>
    <w:rsid w:val="6422775A"/>
    <w:rsid w:val="647E7CAB"/>
    <w:rsid w:val="649C26D7"/>
    <w:rsid w:val="64A66253"/>
    <w:rsid w:val="64B54FB7"/>
    <w:rsid w:val="64C206FC"/>
    <w:rsid w:val="64E06C8D"/>
    <w:rsid w:val="64E67A11"/>
    <w:rsid w:val="64F27154"/>
    <w:rsid w:val="651A6330"/>
    <w:rsid w:val="65407BFD"/>
    <w:rsid w:val="65F81A94"/>
    <w:rsid w:val="66047E9D"/>
    <w:rsid w:val="660E796E"/>
    <w:rsid w:val="660F4AC1"/>
    <w:rsid w:val="661536BF"/>
    <w:rsid w:val="66457C3F"/>
    <w:rsid w:val="664B6E7E"/>
    <w:rsid w:val="666806BA"/>
    <w:rsid w:val="66E155CA"/>
    <w:rsid w:val="672D5F44"/>
    <w:rsid w:val="674605DA"/>
    <w:rsid w:val="674A482B"/>
    <w:rsid w:val="674A548F"/>
    <w:rsid w:val="6756649A"/>
    <w:rsid w:val="676B0ED9"/>
    <w:rsid w:val="67B067D5"/>
    <w:rsid w:val="67D14F4B"/>
    <w:rsid w:val="67D6236D"/>
    <w:rsid w:val="67EF5429"/>
    <w:rsid w:val="680435E1"/>
    <w:rsid w:val="683A4413"/>
    <w:rsid w:val="684044AC"/>
    <w:rsid w:val="684E0625"/>
    <w:rsid w:val="68511946"/>
    <w:rsid w:val="689C7B03"/>
    <w:rsid w:val="68A50770"/>
    <w:rsid w:val="68B44605"/>
    <w:rsid w:val="68E120BE"/>
    <w:rsid w:val="68F96C71"/>
    <w:rsid w:val="68FA299F"/>
    <w:rsid w:val="691019A0"/>
    <w:rsid w:val="69130C2A"/>
    <w:rsid w:val="69250B3E"/>
    <w:rsid w:val="692C5388"/>
    <w:rsid w:val="696C051E"/>
    <w:rsid w:val="697C3298"/>
    <w:rsid w:val="699F7C9B"/>
    <w:rsid w:val="69A33AA3"/>
    <w:rsid w:val="69A635B5"/>
    <w:rsid w:val="69C86813"/>
    <w:rsid w:val="69CB1FB1"/>
    <w:rsid w:val="69CC2414"/>
    <w:rsid w:val="69D6685A"/>
    <w:rsid w:val="6A1735FF"/>
    <w:rsid w:val="6A4B5010"/>
    <w:rsid w:val="6A7F6CF9"/>
    <w:rsid w:val="6A8C7F0B"/>
    <w:rsid w:val="6A97668A"/>
    <w:rsid w:val="6AE35A20"/>
    <w:rsid w:val="6AE974E1"/>
    <w:rsid w:val="6B5B08BC"/>
    <w:rsid w:val="6B794135"/>
    <w:rsid w:val="6B9849C5"/>
    <w:rsid w:val="6B9B18B3"/>
    <w:rsid w:val="6BA2196F"/>
    <w:rsid w:val="6BC05559"/>
    <w:rsid w:val="6BF77277"/>
    <w:rsid w:val="6C04101D"/>
    <w:rsid w:val="6C0E3F15"/>
    <w:rsid w:val="6C161792"/>
    <w:rsid w:val="6C9B0096"/>
    <w:rsid w:val="6CAF61BD"/>
    <w:rsid w:val="6CB32245"/>
    <w:rsid w:val="6CCA638B"/>
    <w:rsid w:val="6CD1785E"/>
    <w:rsid w:val="6D0D240D"/>
    <w:rsid w:val="6D44194B"/>
    <w:rsid w:val="6D764EF1"/>
    <w:rsid w:val="6DBA2D16"/>
    <w:rsid w:val="6DC520D1"/>
    <w:rsid w:val="6DCD14E5"/>
    <w:rsid w:val="6DD85394"/>
    <w:rsid w:val="6DF67C8A"/>
    <w:rsid w:val="6E1521AA"/>
    <w:rsid w:val="6E371D3F"/>
    <w:rsid w:val="6E8137BF"/>
    <w:rsid w:val="6E9549C2"/>
    <w:rsid w:val="6EA067C5"/>
    <w:rsid w:val="6ED12F88"/>
    <w:rsid w:val="6ED351EA"/>
    <w:rsid w:val="6F146A73"/>
    <w:rsid w:val="6F23306C"/>
    <w:rsid w:val="6F4A20B2"/>
    <w:rsid w:val="6F5850CE"/>
    <w:rsid w:val="6F5865D2"/>
    <w:rsid w:val="6F910929"/>
    <w:rsid w:val="6FB05D18"/>
    <w:rsid w:val="700C3FBB"/>
    <w:rsid w:val="704D463B"/>
    <w:rsid w:val="704E3EE4"/>
    <w:rsid w:val="70656099"/>
    <w:rsid w:val="70682246"/>
    <w:rsid w:val="70703F5B"/>
    <w:rsid w:val="70806ABC"/>
    <w:rsid w:val="70A2749B"/>
    <w:rsid w:val="70A81C99"/>
    <w:rsid w:val="70BD58C1"/>
    <w:rsid w:val="711E6910"/>
    <w:rsid w:val="71304877"/>
    <w:rsid w:val="71356152"/>
    <w:rsid w:val="713F33E3"/>
    <w:rsid w:val="71522A15"/>
    <w:rsid w:val="71736A05"/>
    <w:rsid w:val="71B274F2"/>
    <w:rsid w:val="7258328C"/>
    <w:rsid w:val="725E5E4A"/>
    <w:rsid w:val="72FF29D2"/>
    <w:rsid w:val="73134376"/>
    <w:rsid w:val="73180500"/>
    <w:rsid w:val="732874B6"/>
    <w:rsid w:val="73447194"/>
    <w:rsid w:val="737236A7"/>
    <w:rsid w:val="7395495A"/>
    <w:rsid w:val="73AC4FF3"/>
    <w:rsid w:val="73EC2FA4"/>
    <w:rsid w:val="74072ADE"/>
    <w:rsid w:val="740E0675"/>
    <w:rsid w:val="74B2736F"/>
    <w:rsid w:val="74F92397"/>
    <w:rsid w:val="752B2AC5"/>
    <w:rsid w:val="759B5852"/>
    <w:rsid w:val="75BF1E29"/>
    <w:rsid w:val="761D4F76"/>
    <w:rsid w:val="762600B0"/>
    <w:rsid w:val="76926146"/>
    <w:rsid w:val="76A63332"/>
    <w:rsid w:val="76D242B7"/>
    <w:rsid w:val="76D266B7"/>
    <w:rsid w:val="771E7586"/>
    <w:rsid w:val="772B5A1F"/>
    <w:rsid w:val="772E0FE6"/>
    <w:rsid w:val="77331B72"/>
    <w:rsid w:val="7734278B"/>
    <w:rsid w:val="774A44D6"/>
    <w:rsid w:val="77647899"/>
    <w:rsid w:val="77832FD9"/>
    <w:rsid w:val="778F77DE"/>
    <w:rsid w:val="77C47D19"/>
    <w:rsid w:val="77F76F85"/>
    <w:rsid w:val="780C5B95"/>
    <w:rsid w:val="78621A6A"/>
    <w:rsid w:val="78857513"/>
    <w:rsid w:val="78BB4C14"/>
    <w:rsid w:val="78F3375F"/>
    <w:rsid w:val="78FD53DE"/>
    <w:rsid w:val="78FE7282"/>
    <w:rsid w:val="7909728E"/>
    <w:rsid w:val="79223B2D"/>
    <w:rsid w:val="79227D95"/>
    <w:rsid w:val="79335061"/>
    <w:rsid w:val="793747E1"/>
    <w:rsid w:val="795877AD"/>
    <w:rsid w:val="79657763"/>
    <w:rsid w:val="79662819"/>
    <w:rsid w:val="797A5259"/>
    <w:rsid w:val="79A136F4"/>
    <w:rsid w:val="79B05744"/>
    <w:rsid w:val="79E563A6"/>
    <w:rsid w:val="79E87DB1"/>
    <w:rsid w:val="79FC151B"/>
    <w:rsid w:val="7A154D75"/>
    <w:rsid w:val="7A4E234D"/>
    <w:rsid w:val="7A5B66E8"/>
    <w:rsid w:val="7A7A2662"/>
    <w:rsid w:val="7A934828"/>
    <w:rsid w:val="7A973655"/>
    <w:rsid w:val="7A9E3279"/>
    <w:rsid w:val="7AA22580"/>
    <w:rsid w:val="7AA262E1"/>
    <w:rsid w:val="7AD86C15"/>
    <w:rsid w:val="7AE01547"/>
    <w:rsid w:val="7AEB385D"/>
    <w:rsid w:val="7AEC3B77"/>
    <w:rsid w:val="7AF7772F"/>
    <w:rsid w:val="7B437280"/>
    <w:rsid w:val="7B507CF4"/>
    <w:rsid w:val="7BCE613A"/>
    <w:rsid w:val="7C613D40"/>
    <w:rsid w:val="7C77644A"/>
    <w:rsid w:val="7C9F7585"/>
    <w:rsid w:val="7CA22F08"/>
    <w:rsid w:val="7CB41586"/>
    <w:rsid w:val="7CE05A6A"/>
    <w:rsid w:val="7D3320EA"/>
    <w:rsid w:val="7D573964"/>
    <w:rsid w:val="7D68050E"/>
    <w:rsid w:val="7D69701B"/>
    <w:rsid w:val="7D9252C3"/>
    <w:rsid w:val="7DA63AF8"/>
    <w:rsid w:val="7DE81354"/>
    <w:rsid w:val="7E025B94"/>
    <w:rsid w:val="7E111515"/>
    <w:rsid w:val="7E2A3BD5"/>
    <w:rsid w:val="7E321EB3"/>
    <w:rsid w:val="7E3B2C50"/>
    <w:rsid w:val="7E64506E"/>
    <w:rsid w:val="7EB655B5"/>
    <w:rsid w:val="7EC56F7D"/>
    <w:rsid w:val="7ECC49C3"/>
    <w:rsid w:val="7EDD0A67"/>
    <w:rsid w:val="7F2429E3"/>
    <w:rsid w:val="7F3B1F12"/>
    <w:rsid w:val="7F3D70F2"/>
    <w:rsid w:val="7F640190"/>
    <w:rsid w:val="7F6457ED"/>
    <w:rsid w:val="7F6E4FD2"/>
    <w:rsid w:val="7FAA08DB"/>
    <w:rsid w:val="7FBF4826"/>
    <w:rsid w:val="7FC03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5">
    <w:name w:val="annotation text"/>
    <w:basedOn w:val="1"/>
    <w:qFormat/>
    <w:uiPriority w:val="0"/>
    <w:pPr>
      <w:jc w:val="left"/>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16907</Words>
  <Characters>17141</Characters>
  <Lines>0</Lines>
  <Paragraphs>0</Paragraphs>
  <TotalTime>216</TotalTime>
  <ScaleCrop>false</ScaleCrop>
  <LinksUpToDate>false</LinksUpToDate>
  <CharactersWithSpaces>17204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2021-03-01T06:32:00Z</dcterms:created>
  <dc:creator>admin</dc:creator>
  <cp:lastModifiedBy>编辑</cp:lastModifiedBy>
  <cp:lastPrinted>2022-04-22T00:52:00Z</cp:lastPrinted>
  <dcterms:modified xsi:type="dcterms:W3CDTF">2023-02-20T09:10:30Z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DEE51666FAB94B52A95462BD83729CAB</vt:lpwstr>
  </property>
</Properties>
</file>