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 w:firstLine="640" w:firstLineChars="200"/>
        <w:jc w:val="left"/>
      </w:pPr>
      <w:r>
        <w:rPr>
          <w:rFonts w:ascii="方正仿宋_GBK" w:hAnsi="方正仿宋_GBK" w:eastAsia="方正仿宋_GBK" w:cs="方正仿宋_GBK"/>
          <w:color w:val="333333"/>
          <w:kern w:val="2"/>
          <w:sz w:val="32"/>
          <w:szCs w:val="32"/>
          <w:lang w:val="en-US" w:eastAsia="zh-CN" w:bidi="ar"/>
        </w:rPr>
        <w:t>根据《中华人民共和国政府信息公开条例》（国务院令第</w:t>
      </w:r>
      <w:r>
        <w:rPr>
          <w:rFonts w:hint="default" w:ascii="Times New Roman" w:hAnsi="Times New Roman" w:eastAsia="方正仿宋_GBK" w:cs="Times New Roman"/>
          <w:color w:val="333333"/>
          <w:kern w:val="2"/>
          <w:sz w:val="32"/>
          <w:szCs w:val="32"/>
          <w:lang w:val="en-US" w:eastAsia="zh-CN" w:bidi="ar"/>
        </w:rPr>
        <w:t>711</w:t>
      </w:r>
      <w:r>
        <w:rPr>
          <w:rFonts w:hint="eastAsia" w:ascii="方正仿宋_GBK" w:hAnsi="方正仿宋_GBK" w:eastAsia="方正仿宋_GBK" w:cs="方正仿宋_GBK"/>
          <w:color w:val="333333"/>
          <w:kern w:val="2"/>
          <w:sz w:val="32"/>
          <w:szCs w:val="32"/>
          <w:lang w:val="en-US" w:eastAsia="zh-CN" w:bidi="ar"/>
        </w:rPr>
        <w:t>号）和《国务院办公厅政府信息与政务公开办公室关于印发</w:t>
      </w:r>
      <w:r>
        <w:rPr>
          <w:rFonts w:hint="default" w:ascii="Times New Roman" w:hAnsi="Times New Roman" w:eastAsia="方正仿宋_GBK" w:cs="Times New Roman"/>
          <w:color w:val="333333"/>
          <w:kern w:val="2"/>
          <w:sz w:val="32"/>
          <w:szCs w:val="32"/>
          <w:lang w:val="en-US" w:eastAsia="zh-CN" w:bidi="ar"/>
        </w:rPr>
        <w:t>&lt;</w:t>
      </w:r>
      <w:r>
        <w:rPr>
          <w:rFonts w:hint="eastAsia" w:ascii="方正仿宋_GBK" w:hAnsi="方正仿宋_GBK" w:eastAsia="方正仿宋_GBK" w:cs="方正仿宋_GBK"/>
          <w:color w:val="333333"/>
          <w:kern w:val="2"/>
          <w:sz w:val="32"/>
          <w:szCs w:val="32"/>
          <w:lang w:val="en-US" w:eastAsia="zh-CN" w:bidi="ar"/>
        </w:rPr>
        <w:t>中华人民共和国政府信息公开工作年度报告格式</w:t>
      </w:r>
      <w:r>
        <w:rPr>
          <w:rFonts w:hint="default" w:ascii="Times New Roman" w:hAnsi="Times New Roman" w:eastAsia="方正仿宋_GBK" w:cs="Times New Roman"/>
          <w:color w:val="333333"/>
          <w:kern w:val="2"/>
          <w:sz w:val="32"/>
          <w:szCs w:val="32"/>
          <w:lang w:val="en-US" w:eastAsia="zh-CN" w:bidi="ar"/>
        </w:rPr>
        <w:t>&gt;</w:t>
      </w:r>
      <w:r>
        <w:rPr>
          <w:rFonts w:hint="eastAsia" w:ascii="方正仿宋_GBK" w:hAnsi="方正仿宋_GBK" w:eastAsia="方正仿宋_GBK" w:cs="方正仿宋_GBK"/>
          <w:color w:val="333333"/>
          <w:kern w:val="2"/>
          <w:sz w:val="32"/>
          <w:szCs w:val="32"/>
          <w:lang w:val="en-US" w:eastAsia="zh-CN" w:bidi="ar"/>
        </w:rPr>
        <w:t>的通知》（国办公开办函〔</w:t>
      </w:r>
      <w:r>
        <w:rPr>
          <w:rFonts w:hint="default" w:ascii="Times New Roman" w:hAnsi="Times New Roman" w:eastAsia="方正仿宋_GBK" w:cs="Times New Roman"/>
          <w:color w:val="333333"/>
          <w:kern w:val="2"/>
          <w:sz w:val="32"/>
          <w:szCs w:val="32"/>
          <w:lang w:val="en-US" w:eastAsia="zh-CN" w:bidi="ar"/>
        </w:rPr>
        <w:t>2021</w:t>
      </w:r>
      <w:r>
        <w:rPr>
          <w:rFonts w:hint="eastAsia" w:ascii="方正仿宋_GBK" w:hAnsi="方正仿宋_GBK" w:eastAsia="方正仿宋_GBK" w:cs="方正仿宋_GBK"/>
          <w:color w:val="333333"/>
          <w:kern w:val="2"/>
          <w:sz w:val="32"/>
          <w:szCs w:val="32"/>
          <w:lang w:val="en-US" w:eastAsia="zh-CN" w:bidi="ar"/>
        </w:rPr>
        <w:t>〕</w:t>
      </w:r>
      <w:r>
        <w:rPr>
          <w:rFonts w:hint="default" w:ascii="Times New Roman" w:hAnsi="Times New Roman" w:eastAsia="方正仿宋_GBK" w:cs="Times New Roman"/>
          <w:color w:val="333333"/>
          <w:kern w:val="2"/>
          <w:sz w:val="32"/>
          <w:szCs w:val="32"/>
          <w:lang w:val="en-US" w:eastAsia="zh-CN" w:bidi="ar"/>
        </w:rPr>
        <w:t>30</w:t>
      </w:r>
      <w:r>
        <w:rPr>
          <w:rFonts w:hint="eastAsia" w:ascii="方正仿宋_GBK" w:hAnsi="方正仿宋_GBK" w:eastAsia="方正仿宋_GBK" w:cs="方正仿宋_GBK"/>
          <w:color w:val="333333"/>
          <w:kern w:val="2"/>
          <w:sz w:val="32"/>
          <w:szCs w:val="32"/>
          <w:lang w:val="en-US" w:eastAsia="zh-CN" w:bidi="ar"/>
        </w:rPr>
        <w:t>号）要求，现发布《淮北市市场监督管理局</w:t>
      </w:r>
      <w:r>
        <w:rPr>
          <w:rFonts w:hint="default" w:ascii="Times New Roman" w:hAnsi="Times New Roman" w:eastAsia="方正仿宋_GBK" w:cs="Times New Roman"/>
          <w:color w:val="333333"/>
          <w:kern w:val="2"/>
          <w:sz w:val="32"/>
          <w:szCs w:val="32"/>
          <w:lang w:val="en-US" w:eastAsia="zh-CN" w:bidi="ar"/>
        </w:rPr>
        <w:t>2021</w:t>
      </w:r>
      <w:r>
        <w:rPr>
          <w:rFonts w:hint="eastAsia" w:ascii="方正仿宋_GBK" w:hAnsi="方正仿宋_GBK" w:eastAsia="方正仿宋_GBK" w:cs="方正仿宋_GBK"/>
          <w:color w:val="333333"/>
          <w:kern w:val="2"/>
          <w:sz w:val="32"/>
          <w:szCs w:val="32"/>
          <w:lang w:val="en-US" w:eastAsia="zh-CN" w:bidi="ar"/>
        </w:rPr>
        <w:t>年政府信息公开工作年度报告》。全文包括总体情况、主动公开政府信息情况、收到和处理政府信息公开申请情况、监督保障、政府信息公开行政复议和行政诉讼情况、存在的主要问题及改进情况、其他需要报告的事项等。本年度报告中所列数据的统计期限自</w:t>
      </w:r>
      <w:r>
        <w:rPr>
          <w:rFonts w:hint="default" w:ascii="Times New Roman" w:hAnsi="Times New Roman" w:eastAsia="方正仿宋_GBK" w:cs="Times New Roman"/>
          <w:color w:val="333333"/>
          <w:kern w:val="2"/>
          <w:sz w:val="32"/>
          <w:szCs w:val="32"/>
          <w:lang w:val="en-US" w:eastAsia="zh-CN" w:bidi="ar"/>
        </w:rPr>
        <w:t>2021</w:t>
      </w:r>
      <w:r>
        <w:rPr>
          <w:rFonts w:hint="eastAsia" w:ascii="方正仿宋_GBK" w:hAnsi="方正仿宋_GBK" w:eastAsia="方正仿宋_GBK" w:cs="方正仿宋_GBK"/>
          <w:color w:val="333333"/>
          <w:kern w:val="2"/>
          <w:sz w:val="32"/>
          <w:szCs w:val="32"/>
          <w:lang w:val="en-US" w:eastAsia="zh-CN" w:bidi="ar"/>
        </w:rPr>
        <w:t>年</w:t>
      </w:r>
      <w:r>
        <w:rPr>
          <w:rFonts w:hint="default" w:ascii="Times New Roman" w:hAnsi="Times New Roman" w:eastAsia="方正仿宋_GBK" w:cs="Times New Roman"/>
          <w:color w:val="333333"/>
          <w:kern w:val="2"/>
          <w:sz w:val="32"/>
          <w:szCs w:val="32"/>
          <w:lang w:val="en-US" w:eastAsia="zh-CN" w:bidi="ar"/>
        </w:rPr>
        <w:t>1</w:t>
      </w:r>
      <w:r>
        <w:rPr>
          <w:rFonts w:hint="eastAsia" w:ascii="方正仿宋_GBK" w:hAnsi="方正仿宋_GBK" w:eastAsia="方正仿宋_GBK" w:cs="方正仿宋_GBK"/>
          <w:color w:val="333333"/>
          <w:kern w:val="2"/>
          <w:sz w:val="32"/>
          <w:szCs w:val="32"/>
          <w:lang w:val="en-US" w:eastAsia="zh-CN" w:bidi="ar"/>
        </w:rPr>
        <w:t>月</w:t>
      </w:r>
      <w:r>
        <w:rPr>
          <w:rFonts w:hint="default" w:ascii="Times New Roman" w:hAnsi="Times New Roman" w:eastAsia="方正仿宋_GBK" w:cs="Times New Roman"/>
          <w:color w:val="333333"/>
          <w:kern w:val="2"/>
          <w:sz w:val="32"/>
          <w:szCs w:val="32"/>
          <w:lang w:val="en-US" w:eastAsia="zh-CN" w:bidi="ar"/>
        </w:rPr>
        <w:t>1</w:t>
      </w:r>
      <w:r>
        <w:rPr>
          <w:rFonts w:hint="eastAsia" w:ascii="方正仿宋_GBK" w:hAnsi="方正仿宋_GBK" w:eastAsia="方正仿宋_GBK" w:cs="方正仿宋_GBK"/>
          <w:color w:val="333333"/>
          <w:kern w:val="2"/>
          <w:sz w:val="32"/>
          <w:szCs w:val="32"/>
          <w:lang w:val="en-US" w:eastAsia="zh-CN" w:bidi="ar"/>
        </w:rPr>
        <w:t>日至</w:t>
      </w:r>
      <w:r>
        <w:rPr>
          <w:rFonts w:hint="default" w:ascii="Times New Roman" w:hAnsi="Times New Roman" w:eastAsia="方正仿宋_GBK" w:cs="Times New Roman"/>
          <w:color w:val="333333"/>
          <w:kern w:val="2"/>
          <w:sz w:val="32"/>
          <w:szCs w:val="32"/>
          <w:lang w:val="en-US" w:eastAsia="zh-CN" w:bidi="ar"/>
        </w:rPr>
        <w:t>2021</w:t>
      </w:r>
      <w:r>
        <w:rPr>
          <w:rFonts w:hint="eastAsia" w:ascii="方正仿宋_GBK" w:hAnsi="方正仿宋_GBK" w:eastAsia="方正仿宋_GBK" w:cs="方正仿宋_GBK"/>
          <w:color w:val="333333"/>
          <w:kern w:val="2"/>
          <w:sz w:val="32"/>
          <w:szCs w:val="32"/>
          <w:lang w:val="en-US" w:eastAsia="zh-CN" w:bidi="ar"/>
        </w:rPr>
        <w:t>年</w:t>
      </w:r>
      <w:r>
        <w:rPr>
          <w:rFonts w:hint="default" w:ascii="Times New Roman" w:hAnsi="Times New Roman" w:eastAsia="方正仿宋_GBK" w:cs="Times New Roman"/>
          <w:color w:val="333333"/>
          <w:kern w:val="2"/>
          <w:sz w:val="32"/>
          <w:szCs w:val="32"/>
          <w:lang w:val="en-US" w:eastAsia="zh-CN" w:bidi="ar"/>
        </w:rPr>
        <w:t>12</w:t>
      </w:r>
      <w:r>
        <w:rPr>
          <w:rFonts w:hint="eastAsia" w:ascii="方正仿宋_GBK" w:hAnsi="方正仿宋_GBK" w:eastAsia="方正仿宋_GBK" w:cs="方正仿宋_GBK"/>
          <w:color w:val="333333"/>
          <w:kern w:val="2"/>
          <w:sz w:val="32"/>
          <w:szCs w:val="32"/>
          <w:lang w:val="en-US" w:eastAsia="zh-CN" w:bidi="ar"/>
        </w:rPr>
        <w:t>月</w:t>
      </w:r>
      <w:r>
        <w:rPr>
          <w:rFonts w:hint="default" w:ascii="Times New Roman" w:hAnsi="Times New Roman" w:eastAsia="方正仿宋_GBK" w:cs="Times New Roman"/>
          <w:color w:val="333333"/>
          <w:kern w:val="2"/>
          <w:sz w:val="32"/>
          <w:szCs w:val="32"/>
          <w:lang w:val="en-US" w:eastAsia="zh-CN" w:bidi="ar"/>
        </w:rPr>
        <w:t>31</w:t>
      </w:r>
      <w:r>
        <w:rPr>
          <w:rFonts w:hint="eastAsia" w:ascii="方正仿宋_GBK" w:hAnsi="方正仿宋_GBK" w:eastAsia="方正仿宋_GBK" w:cs="方正仿宋_GBK"/>
          <w:color w:val="333333"/>
          <w:kern w:val="2"/>
          <w:sz w:val="32"/>
          <w:szCs w:val="32"/>
          <w:lang w:val="en-US" w:eastAsia="zh-CN" w:bidi="ar"/>
        </w:rPr>
        <w:t>日。本年度报告电子版可从淮北市市场监督管理局网站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 w:firstLine="640" w:firstLineChars="200"/>
        <w:jc w:val="left"/>
      </w:pPr>
      <w:r>
        <w:rPr>
          <w:rFonts w:hint="eastAsia" w:ascii="方正仿宋_GBK" w:hAnsi="方正仿宋_GBK" w:eastAsia="方正仿宋_GBK" w:cs="方正仿宋_GBK"/>
          <w:color w:val="333333"/>
          <w:kern w:val="2"/>
          <w:sz w:val="32"/>
          <w:szCs w:val="32"/>
          <w:lang w:val="en-US" w:eastAsia="zh-CN" w:bidi="ar"/>
        </w:rPr>
        <w:t>（</w:t>
      </w:r>
      <w:r>
        <w:rPr>
          <w:rFonts w:hint="default" w:ascii="Times New Roman" w:hAnsi="Times New Roman" w:eastAsia="方正仿宋_GBK" w:cs="Times New Roman"/>
          <w:color w:val="333333"/>
          <w:kern w:val="2"/>
          <w:sz w:val="32"/>
          <w:szCs w:val="32"/>
          <w:lang w:val="en-US" w:eastAsia="zh-CN" w:bidi="ar"/>
        </w:rPr>
        <w:t>https://amr.huaibei.gov.cn/zwgk/public/column/77?type=4&amp;action=list</w:t>
      </w:r>
      <w:r>
        <w:rPr>
          <w:rFonts w:hint="eastAsia" w:ascii="方正仿宋_GBK" w:hAnsi="方正仿宋_GBK" w:eastAsia="方正仿宋_GBK" w:cs="方正仿宋_GBK"/>
          <w:color w:val="333333"/>
          <w:kern w:val="2"/>
          <w:sz w:val="32"/>
          <w:szCs w:val="32"/>
          <w:lang w:val="en-US" w:eastAsia="zh-CN" w:bidi="ar"/>
        </w:rPr>
        <w:t>）下载。如对本报告有疑问，请与淮北市市场监管局办公室联系。（联系地址：淮北市龙山路</w:t>
      </w:r>
      <w:r>
        <w:rPr>
          <w:rFonts w:hint="default" w:ascii="Times New Roman" w:hAnsi="Times New Roman" w:eastAsia="方正仿宋_GBK" w:cs="Times New Roman"/>
          <w:color w:val="333333"/>
          <w:kern w:val="2"/>
          <w:sz w:val="32"/>
          <w:szCs w:val="32"/>
          <w:lang w:val="en-US" w:eastAsia="zh-CN" w:bidi="ar"/>
        </w:rPr>
        <w:t>199</w:t>
      </w:r>
      <w:r>
        <w:rPr>
          <w:rFonts w:hint="eastAsia" w:ascii="方正仿宋_GBK" w:hAnsi="方正仿宋_GBK" w:eastAsia="方正仿宋_GBK" w:cs="方正仿宋_GBK"/>
          <w:color w:val="333333"/>
          <w:kern w:val="2"/>
          <w:sz w:val="32"/>
          <w:szCs w:val="32"/>
          <w:lang w:val="en-US" w:eastAsia="zh-CN" w:bidi="ar"/>
        </w:rPr>
        <w:t>号，传</w:t>
      </w:r>
      <w:bookmarkStart w:id="0" w:name="_GoBack"/>
      <w:bookmarkEnd w:id="0"/>
      <w:permStart w:id="0" w:edGrp="everyone"/>
      <w:permEnd w:id="0"/>
      <w:r>
        <w:rPr>
          <w:rFonts w:hint="eastAsia" w:ascii="方正仿宋_GBK" w:hAnsi="方正仿宋_GBK" w:eastAsia="方正仿宋_GBK" w:cs="方正仿宋_GBK"/>
          <w:color w:val="333333"/>
          <w:kern w:val="2"/>
          <w:sz w:val="32"/>
          <w:szCs w:val="32"/>
          <w:lang w:val="en-US" w:eastAsia="zh-CN" w:bidi="ar"/>
        </w:rPr>
        <w:t>真：</w:t>
      </w:r>
      <w:r>
        <w:rPr>
          <w:rFonts w:hint="default" w:ascii="Times New Roman" w:hAnsi="Times New Roman" w:eastAsia="方正仿宋_GBK" w:cs="Times New Roman"/>
          <w:color w:val="333333"/>
          <w:kern w:val="2"/>
          <w:sz w:val="32"/>
          <w:szCs w:val="32"/>
          <w:lang w:val="en-US" w:eastAsia="zh-CN" w:bidi="ar"/>
        </w:rPr>
        <w:t>3022535</w:t>
      </w:r>
      <w:r>
        <w:rPr>
          <w:rFonts w:hint="eastAsia" w:ascii="方正仿宋_GBK" w:hAnsi="方正仿宋_GBK" w:eastAsia="方正仿宋_GBK" w:cs="方正仿宋_GBK"/>
          <w:color w:val="333333"/>
          <w:kern w:val="2"/>
          <w:sz w:val="32"/>
          <w:szCs w:val="32"/>
          <w:lang w:val="en-US" w:eastAsia="zh-CN" w:bidi="ar"/>
        </w:rPr>
        <w:t>，联系电话：</w:t>
      </w:r>
      <w:r>
        <w:rPr>
          <w:rFonts w:hint="default" w:ascii="Times New Roman" w:hAnsi="Times New Roman" w:eastAsia="方正仿宋_GBK" w:cs="Times New Roman"/>
          <w:color w:val="333333"/>
          <w:kern w:val="2"/>
          <w:sz w:val="32"/>
          <w:szCs w:val="32"/>
          <w:lang w:val="en-US" w:eastAsia="zh-CN" w:bidi="ar"/>
        </w:rPr>
        <w:t>0561</w:t>
      </w:r>
      <w:r>
        <w:rPr>
          <w:rFonts w:hint="eastAsia" w:ascii="方正仿宋_GBK" w:hAnsi="方正仿宋_GBK" w:eastAsia="方正仿宋_GBK" w:cs="方正仿宋_GBK"/>
          <w:color w:val="333333"/>
          <w:kern w:val="2"/>
          <w:sz w:val="32"/>
          <w:szCs w:val="32"/>
          <w:lang w:val="en-US" w:eastAsia="zh-CN" w:bidi="ar"/>
        </w:rPr>
        <w:t>－</w:t>
      </w:r>
      <w:r>
        <w:rPr>
          <w:rFonts w:hint="default" w:ascii="Times New Roman" w:hAnsi="Times New Roman" w:eastAsia="方正仿宋_GBK" w:cs="Times New Roman"/>
          <w:color w:val="333333"/>
          <w:kern w:val="2"/>
          <w:sz w:val="32"/>
          <w:szCs w:val="32"/>
          <w:lang w:val="en-US" w:eastAsia="zh-CN" w:bidi="ar"/>
        </w:rPr>
        <w:t>3236611</w:t>
      </w:r>
      <w:r>
        <w:rPr>
          <w:rFonts w:hint="eastAsia" w:ascii="方正仿宋_GBK" w:hAnsi="方正仿宋_GBK" w:eastAsia="方正仿宋_GBK" w:cs="方正仿宋_GBK"/>
          <w:color w:val="333333"/>
          <w:kern w:val="2"/>
          <w:sz w:val="32"/>
          <w:szCs w:val="32"/>
          <w:lang w:val="en-US" w:eastAsia="zh-CN" w:bidi="ar"/>
        </w:rPr>
        <w:t>）。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 w:firstLine="640" w:firstLineChars="200"/>
        <w:jc w:val="left"/>
      </w:pPr>
      <w:r>
        <w:rPr>
          <w:rFonts w:ascii="黑体" w:hAnsi="宋体" w:eastAsia="黑体" w:cs="黑体"/>
          <w:kern w:val="2"/>
          <w:sz w:val="32"/>
          <w:szCs w:val="32"/>
          <w:lang w:val="en-US" w:eastAsia="zh-CN" w:bidi="ar"/>
        </w:rPr>
        <w:t>一、总体情况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 w:firstLine="640" w:firstLineChars="200"/>
        <w:jc w:val="left"/>
      </w:pPr>
      <w:r>
        <w:rPr>
          <w:rFonts w:hint="default" w:ascii="Times New Roman" w:hAnsi="Times New Roman" w:eastAsia="方正仿宋_GBK" w:cs="Times New Roman"/>
          <w:color w:val="333333"/>
          <w:kern w:val="2"/>
          <w:sz w:val="32"/>
          <w:szCs w:val="32"/>
          <w:lang w:val="en-US" w:eastAsia="zh-CN" w:bidi="ar"/>
        </w:rPr>
        <w:t>2021</w:t>
      </w:r>
      <w:r>
        <w:rPr>
          <w:rFonts w:hint="eastAsia" w:ascii="方正仿宋_GBK" w:hAnsi="方正仿宋_GBK" w:eastAsia="方正仿宋_GBK" w:cs="方正仿宋_GBK"/>
          <w:color w:val="333333"/>
          <w:kern w:val="2"/>
          <w:sz w:val="32"/>
          <w:szCs w:val="32"/>
          <w:lang w:val="en-US" w:eastAsia="zh-CN" w:bidi="ar"/>
        </w:rPr>
        <w:t>年，淮北市市场监督管理局坚决执行国务院、省政府关于全面推进政府信息公开工作的重大决策部署，贯彻落实新《条例》、《国务院办公厅关于印发</w:t>
      </w:r>
      <w:r>
        <w:rPr>
          <w:rFonts w:hint="default" w:ascii="Times New Roman" w:hAnsi="Times New Roman" w:eastAsia="方正仿宋_GBK" w:cs="Times New Roman"/>
          <w:color w:val="333333"/>
          <w:kern w:val="2"/>
          <w:sz w:val="32"/>
          <w:szCs w:val="32"/>
          <w:lang w:val="en-US" w:eastAsia="zh-CN" w:bidi="ar"/>
        </w:rPr>
        <w:t>2021</w:t>
      </w:r>
      <w:r>
        <w:rPr>
          <w:rFonts w:hint="eastAsia" w:ascii="方正仿宋_GBK" w:hAnsi="方正仿宋_GBK" w:eastAsia="方正仿宋_GBK" w:cs="方正仿宋_GBK"/>
          <w:color w:val="333333"/>
          <w:kern w:val="2"/>
          <w:sz w:val="32"/>
          <w:szCs w:val="32"/>
          <w:lang w:val="en-US" w:eastAsia="zh-CN" w:bidi="ar"/>
        </w:rPr>
        <w:t>年政务公开工作要点的通知》（国办发〔</w:t>
      </w:r>
      <w:r>
        <w:rPr>
          <w:rFonts w:hint="default" w:ascii="Times New Roman" w:hAnsi="Times New Roman" w:eastAsia="方正仿宋_GBK" w:cs="Times New Roman"/>
          <w:color w:val="333333"/>
          <w:kern w:val="2"/>
          <w:sz w:val="32"/>
          <w:szCs w:val="32"/>
          <w:lang w:val="en-US" w:eastAsia="zh-CN" w:bidi="ar"/>
        </w:rPr>
        <w:t>2021</w:t>
      </w:r>
      <w:r>
        <w:rPr>
          <w:rFonts w:hint="eastAsia" w:ascii="方正仿宋_GBK" w:hAnsi="方正仿宋_GBK" w:eastAsia="方正仿宋_GBK" w:cs="方正仿宋_GBK"/>
          <w:color w:val="333333"/>
          <w:kern w:val="2"/>
          <w:sz w:val="32"/>
          <w:szCs w:val="32"/>
          <w:lang w:val="en-US" w:eastAsia="zh-CN" w:bidi="ar"/>
        </w:rPr>
        <w:t>〕</w:t>
      </w:r>
      <w:r>
        <w:rPr>
          <w:rFonts w:hint="default" w:ascii="Times New Roman" w:hAnsi="Times New Roman" w:eastAsia="方正仿宋_GBK" w:cs="Times New Roman"/>
          <w:color w:val="333333"/>
          <w:kern w:val="2"/>
          <w:sz w:val="32"/>
          <w:szCs w:val="32"/>
          <w:lang w:val="en-US" w:eastAsia="zh-CN" w:bidi="ar"/>
        </w:rPr>
        <w:t>12</w:t>
      </w:r>
      <w:r>
        <w:rPr>
          <w:rFonts w:hint="eastAsia" w:ascii="方正仿宋_GBK" w:hAnsi="方正仿宋_GBK" w:eastAsia="方正仿宋_GBK" w:cs="方正仿宋_GBK"/>
          <w:color w:val="333333"/>
          <w:kern w:val="2"/>
          <w:sz w:val="32"/>
          <w:szCs w:val="32"/>
          <w:lang w:val="en-US" w:eastAsia="zh-CN" w:bidi="ar"/>
        </w:rPr>
        <w:t>号）文件精神，根据市政府的正确指示，坚持应公开、尽公开原则，找准“要我公开”和“我要公开”的结合点，有效保证群众的知情权、监督权、参与权，不断提高工作的透明度、知晓率。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 w:firstLine="640" w:firstLineChars="200"/>
        <w:jc w:val="left"/>
      </w:pPr>
      <w:r>
        <w:rPr>
          <w:rFonts w:ascii="仿宋_GB2312" w:eastAsia="仿宋_GB2312" w:cs="仿宋_GB2312" w:hAnsiTheme="minorHAnsi"/>
          <w:kern w:val="2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 w:firstLine="964" w:firstLineChars="300"/>
        <w:jc w:val="left"/>
      </w:pPr>
      <w:r>
        <w:rPr>
          <w:rFonts w:ascii="楷体" w:hAnsi="楷体" w:eastAsia="楷体" w:cs="楷体"/>
          <w:b/>
          <w:bCs w:val="0"/>
          <w:kern w:val="2"/>
          <w:sz w:val="32"/>
          <w:szCs w:val="32"/>
          <w:lang w:val="en-US" w:eastAsia="zh-CN" w:bidi="ar"/>
        </w:rPr>
        <w:t>（一）主动公开情况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640"/>
        <w:jc w:val="both"/>
      </w:pP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2021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年度，淮北市市场监督管理局围绕年度政务公开重点工作分工安排，进一步强化重点领域信息公开，紧紧围绕市场监管重点工作，做好食品、药品、特种设备、产品质量安全等信息公开，开设反垄断与反不正当竞争栏目，加强高标准市场体系建设。编写淮北市市场监督管理“十四五”发展规划，本年度我局充分发挥科室的积极性，运用媒体解读、领导解读、专家解读、图片解读等方式多渠道、多层次、多形式解读政策，提高政策覆盖面、普及率。坚持做好疫情防控常态化下疫情信息发布工作，依法做到及时、准确、公开、透明，让公众实时了解最新疫情动态。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 w:firstLine="643" w:firstLineChars="200"/>
        <w:jc w:val="left"/>
      </w:pPr>
      <w:r>
        <w:rPr>
          <w:rFonts w:hint="eastAsia" w:ascii="楷体" w:hAnsi="楷体" w:eastAsia="楷体" w:cs="楷体"/>
          <w:b/>
          <w:bCs w:val="0"/>
          <w:kern w:val="2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 w:firstLine="643" w:firstLineChars="200"/>
        <w:jc w:val="left"/>
      </w:pPr>
      <w:r>
        <w:rPr>
          <w:rFonts w:hint="eastAsia" w:ascii="楷体" w:hAnsi="楷体" w:eastAsia="楷体" w:cs="楷体"/>
          <w:b/>
          <w:bCs w:val="0"/>
          <w:kern w:val="2"/>
          <w:sz w:val="32"/>
          <w:szCs w:val="32"/>
          <w:lang w:val="en-US" w:eastAsia="zh-CN" w:bidi="ar"/>
        </w:rPr>
        <w:t>（二）依申请公开情况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 w:firstLine="640" w:firstLineChars="200"/>
        <w:jc w:val="left"/>
      </w:pPr>
      <w:r>
        <w:rPr>
          <w:rFonts w:hint="default" w:ascii="Times New Roman" w:hAnsi="Times New Roman" w:eastAsia="方正仿宋_GBK" w:cs="Times New Roman"/>
          <w:color w:val="333333"/>
          <w:kern w:val="2"/>
          <w:sz w:val="32"/>
          <w:szCs w:val="32"/>
          <w:lang w:val="en-US" w:eastAsia="zh-CN" w:bidi="ar"/>
        </w:rPr>
        <w:t>2021</w:t>
      </w:r>
      <w:r>
        <w:rPr>
          <w:rFonts w:hint="eastAsia" w:ascii="方正仿宋_GBK" w:hAnsi="方正仿宋_GBK" w:eastAsia="方正仿宋_GBK" w:cs="方正仿宋_GBK"/>
          <w:color w:val="333333"/>
          <w:kern w:val="2"/>
          <w:sz w:val="32"/>
          <w:szCs w:val="32"/>
          <w:lang w:val="en-US" w:eastAsia="zh-CN" w:bidi="ar"/>
        </w:rPr>
        <w:t>年，共收到依申请公开办件</w:t>
      </w:r>
      <w:r>
        <w:rPr>
          <w:rFonts w:hint="default" w:ascii="Times New Roman" w:hAnsi="Times New Roman" w:eastAsia="方正仿宋_GBK" w:cs="Times New Roman"/>
          <w:color w:val="333333"/>
          <w:kern w:val="2"/>
          <w:sz w:val="32"/>
          <w:szCs w:val="32"/>
          <w:lang w:val="en-US" w:eastAsia="zh-CN" w:bidi="ar"/>
        </w:rPr>
        <w:t>2</w:t>
      </w:r>
      <w:r>
        <w:rPr>
          <w:rFonts w:hint="eastAsia" w:ascii="方正仿宋_GBK" w:hAnsi="方正仿宋_GBK" w:eastAsia="方正仿宋_GBK" w:cs="方正仿宋_GBK"/>
          <w:color w:val="333333"/>
          <w:kern w:val="2"/>
          <w:sz w:val="32"/>
          <w:szCs w:val="32"/>
          <w:lang w:val="en-US" w:eastAsia="zh-CN" w:bidi="ar"/>
        </w:rPr>
        <w:t>件，办结</w:t>
      </w:r>
      <w:r>
        <w:rPr>
          <w:rFonts w:hint="default" w:ascii="Times New Roman" w:hAnsi="Times New Roman" w:eastAsia="方正仿宋_GBK" w:cs="Times New Roman"/>
          <w:color w:val="333333"/>
          <w:kern w:val="2"/>
          <w:sz w:val="32"/>
          <w:szCs w:val="32"/>
          <w:lang w:val="en-US" w:eastAsia="zh-CN" w:bidi="ar"/>
        </w:rPr>
        <w:t>2</w:t>
      </w:r>
      <w:r>
        <w:rPr>
          <w:rFonts w:hint="eastAsia" w:ascii="方正仿宋_GBK" w:hAnsi="方正仿宋_GBK" w:eastAsia="方正仿宋_GBK" w:cs="方正仿宋_GBK"/>
          <w:color w:val="333333"/>
          <w:kern w:val="2"/>
          <w:sz w:val="32"/>
          <w:szCs w:val="32"/>
          <w:lang w:val="en-US" w:eastAsia="zh-CN" w:bidi="ar"/>
        </w:rPr>
        <w:t>件，办结率</w:t>
      </w:r>
      <w:r>
        <w:rPr>
          <w:rFonts w:hint="default" w:ascii="Times New Roman" w:hAnsi="Times New Roman" w:eastAsia="方正仿宋_GBK" w:cs="Times New Roman"/>
          <w:color w:val="333333"/>
          <w:kern w:val="2"/>
          <w:sz w:val="32"/>
          <w:szCs w:val="32"/>
          <w:lang w:val="en-US" w:eastAsia="zh-CN" w:bidi="ar"/>
        </w:rPr>
        <w:t>100%</w:t>
      </w:r>
      <w:r>
        <w:rPr>
          <w:rFonts w:hint="eastAsia" w:ascii="方正仿宋_GBK" w:hAnsi="方正仿宋_GBK" w:eastAsia="方正仿宋_GBK" w:cs="方正仿宋_GBK"/>
          <w:color w:val="333333"/>
          <w:kern w:val="2"/>
          <w:sz w:val="32"/>
          <w:szCs w:val="32"/>
          <w:lang w:val="en-US" w:eastAsia="zh-CN" w:bidi="ar"/>
        </w:rPr>
        <w:t>，无不予公开、无法提供、不予处理的情形。所有申请均在规定时间内按要求规范办理。没有需要结转下年度继续办理的情况。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 w:firstLine="640" w:firstLineChars="200"/>
        <w:jc w:val="left"/>
      </w:pPr>
      <w:r>
        <w:rPr>
          <w:rFonts w:hint="eastAsia" w:ascii="仿宋_GB2312" w:eastAsia="仿宋_GB2312" w:cs="仿宋_GB2312" w:hAnsiTheme="minorHAnsi"/>
          <w:kern w:val="2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widowControl/>
        <w:numPr>
          <w:numId w:val="0"/>
        </w:numPr>
        <w:suppressLineNumbers w:val="0"/>
        <w:spacing w:before="0" w:beforeAutospacing="1" w:after="0" w:afterAutospacing="1"/>
        <w:ind w:left="0" w:right="0" w:firstLine="643" w:firstLineChars="200"/>
        <w:jc w:val="left"/>
      </w:pPr>
      <w:r>
        <w:rPr>
          <w:rFonts w:hint="eastAsia" w:ascii="楷体" w:hAnsi="楷体" w:eastAsia="楷体" w:cs="楷体"/>
          <w:b/>
          <w:kern w:val="2"/>
          <w:sz w:val="32"/>
          <w:szCs w:val="32"/>
          <w:lang w:val="en-US" w:eastAsia="zh-CN" w:bidi="ar"/>
        </w:rPr>
        <w:t>（三）</w:t>
      </w:r>
      <w:r>
        <w:rPr>
          <w:rFonts w:hint="eastAsia" w:ascii="楷体" w:hAnsi="楷体" w:eastAsia="楷体" w:cs="楷体"/>
          <w:b/>
          <w:bCs w:val="0"/>
          <w:kern w:val="2"/>
          <w:sz w:val="32"/>
          <w:szCs w:val="32"/>
          <w:lang w:val="en-US" w:eastAsia="zh-CN" w:bidi="ar"/>
        </w:rPr>
        <w:t>政府信息管理情况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 w:firstLine="640" w:firstLineChars="200"/>
        <w:jc w:val="left"/>
      </w:pPr>
      <w:r>
        <w:rPr>
          <w:rFonts w:hint="eastAsia" w:ascii="方正仿宋_GBK" w:hAnsi="方正仿宋_GBK" w:eastAsia="方正仿宋_GBK" w:cs="方正仿宋_GBK"/>
          <w:color w:val="333333"/>
          <w:kern w:val="2"/>
          <w:sz w:val="32"/>
          <w:szCs w:val="32"/>
          <w:lang w:val="en-US" w:eastAsia="zh-CN" w:bidi="ar"/>
        </w:rPr>
        <w:t>明确领导责任，加强机构队伍建设，做到责任落实到岗、工作落实到人。加强制度保障，及时修订完善相关配套制度，建立健全政务信息公开审核制度，使政务公开工作制度化、科学化、规范化。有效提高了我局发布的政务信息的准确性。坚持复查复核制度，办公室定期对信息公开情况进行复查，发现问题及时整改，确保了政府信息公开工作顺利推进。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left"/>
      </w:pPr>
      <w:r>
        <w:rPr>
          <w:rFonts w:hint="eastAsia" w:ascii="楷体" w:hAnsi="楷体" w:eastAsia="楷体" w:cs="楷体"/>
          <w:b/>
          <w:bCs w:val="0"/>
          <w:kern w:val="2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 w:firstLine="643" w:firstLineChars="200"/>
        <w:jc w:val="left"/>
      </w:pPr>
      <w:r>
        <w:rPr>
          <w:rFonts w:hint="eastAsia" w:ascii="楷体" w:hAnsi="楷体" w:eastAsia="楷体" w:cs="楷体"/>
          <w:b/>
          <w:bCs w:val="0"/>
          <w:kern w:val="2"/>
          <w:sz w:val="32"/>
          <w:szCs w:val="32"/>
          <w:lang w:val="en-US" w:eastAsia="zh-CN" w:bidi="ar"/>
        </w:rPr>
        <w:t>（四）平台建设情况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 w:firstLine="640" w:firstLineChars="200"/>
        <w:jc w:val="left"/>
      </w:pPr>
      <w:r>
        <w:rPr>
          <w:rFonts w:hint="default" w:ascii="Times New Roman" w:hAnsi="Times New Roman" w:eastAsia="方正仿宋_GBK" w:cs="Times New Roman"/>
          <w:color w:val="333333"/>
          <w:kern w:val="2"/>
          <w:sz w:val="32"/>
          <w:szCs w:val="32"/>
          <w:lang w:val="en-US" w:eastAsia="zh-CN" w:bidi="ar"/>
        </w:rPr>
        <w:t>2021</w:t>
      </w:r>
      <w:r>
        <w:rPr>
          <w:rFonts w:hint="eastAsia" w:ascii="方正仿宋_GBK" w:hAnsi="方正仿宋_GBK" w:eastAsia="方正仿宋_GBK" w:cs="方正仿宋_GBK"/>
          <w:color w:val="333333"/>
          <w:kern w:val="2"/>
          <w:sz w:val="32"/>
          <w:szCs w:val="32"/>
          <w:lang w:val="en-US" w:eastAsia="zh-CN" w:bidi="ar"/>
        </w:rPr>
        <w:t>年，我局充分运用互联网信息技术，借助政府信息公开网、门户网站、微博等新媒体进一步加大宣传力度。充分发挥政府网站第一平台作用，丰富网站内容、优化网站功能、完善栏目设置，增强政务公开的主动性，完善政民互动功能，并在规定时间内回复群众留言咨询，增强政务公开的时效性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 w:firstLine="640"/>
        <w:jc w:val="both"/>
      </w:pPr>
      <w:r>
        <w:rPr>
          <w:rFonts w:hint="eastAsia" w:ascii="仿宋_GB2312" w:eastAsia="仿宋_GB2312" w:cs="仿宋_GB2312"/>
          <w:color w:val="000000"/>
          <w:kern w:val="0"/>
          <w:sz w:val="32"/>
          <w:szCs w:val="32"/>
          <w:shd w:val="clear" w:fill="FFFFFF"/>
        </w:rPr>
        <w:t xml:space="preserve"> 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420" w:leftChars="200" w:right="0"/>
        <w:jc w:val="left"/>
      </w:pPr>
      <w:r>
        <w:rPr>
          <w:rFonts w:hint="eastAsia" w:ascii="楷体" w:hAnsi="楷体" w:eastAsia="楷体" w:cs="楷体"/>
          <w:b/>
          <w:bCs w:val="0"/>
          <w:kern w:val="2"/>
          <w:sz w:val="32"/>
          <w:szCs w:val="32"/>
          <w:lang w:val="en-US" w:eastAsia="zh-CN" w:bidi="ar"/>
        </w:rPr>
        <w:t>（五）监督保障情况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 w:firstLine="640" w:firstLineChars="200"/>
        <w:jc w:val="left"/>
      </w:pPr>
      <w:r>
        <w:rPr>
          <w:rFonts w:hint="eastAsia" w:ascii="方正仿宋_GBK" w:hAnsi="方正仿宋_GBK" w:eastAsia="方正仿宋_GBK" w:cs="方正仿宋_GBK"/>
          <w:color w:val="333333"/>
          <w:kern w:val="2"/>
          <w:sz w:val="32"/>
          <w:szCs w:val="32"/>
          <w:lang w:val="en-US" w:eastAsia="zh-CN" w:bidi="ar"/>
        </w:rPr>
        <w:t>根据《淮北市市场监督管理局</w:t>
      </w:r>
      <w:r>
        <w:rPr>
          <w:rFonts w:hint="default" w:ascii="Times New Roman" w:hAnsi="Times New Roman" w:eastAsia="方正仿宋_GBK" w:cs="Times New Roman"/>
          <w:color w:val="333333"/>
          <w:kern w:val="2"/>
          <w:sz w:val="32"/>
          <w:szCs w:val="32"/>
          <w:lang w:val="en-US" w:eastAsia="zh-CN" w:bidi="ar"/>
        </w:rPr>
        <w:t>2021</w:t>
      </w:r>
      <w:r>
        <w:rPr>
          <w:rFonts w:hint="eastAsia" w:ascii="方正仿宋_GBK" w:hAnsi="方正仿宋_GBK" w:eastAsia="方正仿宋_GBK" w:cs="方正仿宋_GBK"/>
          <w:color w:val="333333"/>
          <w:kern w:val="2"/>
          <w:sz w:val="32"/>
          <w:szCs w:val="32"/>
          <w:lang w:val="en-US" w:eastAsia="zh-CN" w:bidi="ar"/>
        </w:rPr>
        <w:t>年政务公开重点工作任务分工的通知》，划分各科室的工作职责，确定政务公开专职负责人，局党组高度重视政务公开工作，配备专人负责政务公开工作。加强和市政务公开办的沟通交流，定期参加政务公开推进会、培训会等，落实整改工作。加大政务公开经费投入，通过引进政务公开第三方信息运维，加强对网站的日常监测与维护，提升政务公开的专业水平。健全社会评议和责任追究制度，定期对政府信息公开工作实施情况进行监督检查，</w:t>
      </w:r>
      <w:r>
        <w:rPr>
          <w:rFonts w:hint="default" w:ascii="Times New Roman" w:hAnsi="Times New Roman" w:eastAsia="方正仿宋_GBK" w:cs="Times New Roman"/>
          <w:color w:val="333333"/>
          <w:kern w:val="2"/>
          <w:sz w:val="32"/>
          <w:szCs w:val="32"/>
          <w:lang w:val="en-US" w:eastAsia="zh-CN" w:bidi="ar"/>
        </w:rPr>
        <w:t>2021</w:t>
      </w:r>
      <w:r>
        <w:rPr>
          <w:rFonts w:hint="eastAsia" w:ascii="方正仿宋_GBK" w:hAnsi="方正仿宋_GBK" w:eastAsia="方正仿宋_GBK" w:cs="方正仿宋_GBK"/>
          <w:color w:val="333333"/>
          <w:kern w:val="2"/>
          <w:sz w:val="32"/>
          <w:szCs w:val="32"/>
          <w:lang w:val="en-US" w:eastAsia="zh-CN" w:bidi="ar"/>
        </w:rPr>
        <w:t>年我局未发生因不履行政务公开义务而产生的责任追究情况。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 w:firstLine="640" w:firstLineChars="200"/>
        <w:jc w:val="left"/>
      </w:pPr>
      <w:r>
        <w:rPr>
          <w:rFonts w:hint="eastAsia" w:ascii="方正仿宋_GBK" w:hAnsi="方正仿宋_GBK" w:eastAsia="方正仿宋_GBK" w:cs="方正仿宋_GBK"/>
          <w:color w:val="333333"/>
          <w:kern w:val="2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 w:firstLine="640" w:firstLineChars="200"/>
        <w:jc w:val="left"/>
      </w:pPr>
      <w:r>
        <w:rPr>
          <w:rFonts w:hint="eastAsia" w:ascii="黑体" w:hAnsi="宋体" w:eastAsia="黑体" w:cs="黑体"/>
          <w:kern w:val="2"/>
          <w:sz w:val="32"/>
          <w:szCs w:val="32"/>
          <w:lang w:val="en-US" w:eastAsia="zh-CN" w:bidi="ar"/>
        </w:rPr>
        <w:t>二、主动公开政府信息情况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20"/>
        <w:jc w:val="both"/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 xml:space="preserve"> </w:t>
      </w:r>
    </w:p>
    <w:tbl>
      <w:tblPr>
        <w:tblW w:w="974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435"/>
        <w:gridCol w:w="2435"/>
        <w:gridCol w:w="2435"/>
        <w:gridCol w:w="24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本年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制发件数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现行有效件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216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本年收费金额（单位：万元）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2400" w:firstLineChars="1000"/>
              <w:jc w:val="left"/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1164.54</w:t>
            </w:r>
          </w:p>
        </w:tc>
      </w:tr>
    </w:tbl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left"/>
      </w:pPr>
      <w:r>
        <w:rPr>
          <w:rFonts w:hint="eastAsia" w:ascii="黑体" w:hAnsi="宋体" w:eastAsia="黑体" w:cs="黑体"/>
          <w:kern w:val="2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left"/>
      </w:pPr>
      <w:r>
        <w:rPr>
          <w:rFonts w:hint="eastAsia" w:ascii="黑体" w:hAnsi="宋体" w:eastAsia="黑体" w:cs="黑体"/>
          <w:kern w:val="2"/>
          <w:sz w:val="32"/>
          <w:szCs w:val="32"/>
          <w:lang w:val="en-US" w:eastAsia="zh-CN" w:bidi="ar"/>
        </w:rPr>
        <w:t>三、收到和处理政府信息公开申请情况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20"/>
        <w:jc w:val="both"/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 xml:space="preserve"> </w:t>
      </w:r>
    </w:p>
    <w:tbl>
      <w:tblPr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68"/>
        <w:gridCol w:w="943"/>
        <w:gridCol w:w="3220"/>
        <w:gridCol w:w="688"/>
        <w:gridCol w:w="688"/>
        <w:gridCol w:w="688"/>
        <w:gridCol w:w="688"/>
        <w:gridCol w:w="688"/>
        <w:gridCol w:w="688"/>
        <w:gridCol w:w="689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（本列数据的勾稽关系为：第一项加第二项之和，等于第三项加第四项之和）</w:t>
            </w:r>
          </w:p>
        </w:tc>
        <w:tc>
          <w:tcPr>
            <w:tcW w:w="4817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自然人</w:t>
            </w:r>
          </w:p>
        </w:tc>
        <w:tc>
          <w:tcPr>
            <w:tcW w:w="3440" w:type="dxa"/>
            <w:gridSpan w:val="5"/>
            <w:tcBorders>
              <w:top w:val="single" w:color="auto" w:sz="8" w:space="0"/>
              <w:left w:val="single" w:color="auto" w:sz="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法人或其他组织</w:t>
            </w:r>
          </w:p>
        </w:tc>
        <w:tc>
          <w:tcPr>
            <w:tcW w:w="689" w:type="dxa"/>
            <w:vMerge w:val="restart"/>
            <w:tcBorders>
              <w:top w:val="single" w:color="auto" w:sz="8" w:space="0"/>
              <w:left w:val="single" w:color="auto" w:sz="2" w:space="0"/>
              <w:bottom w:val="outset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8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single" w:color="auto" w:sz="2" w:space="0"/>
              <w:left w:val="single" w:color="auto" w:sz="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商业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企业</w:t>
            </w:r>
          </w:p>
        </w:tc>
        <w:tc>
          <w:tcPr>
            <w:tcW w:w="688" w:type="dxa"/>
            <w:tcBorders>
              <w:top w:val="single" w:color="auto" w:sz="2" w:space="0"/>
              <w:left w:val="single" w:color="auto" w:sz="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科研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机构</w:t>
            </w:r>
          </w:p>
        </w:tc>
        <w:tc>
          <w:tcPr>
            <w:tcW w:w="688" w:type="dxa"/>
            <w:tcBorders>
              <w:top w:val="single" w:color="auto" w:sz="8" w:space="0"/>
              <w:left w:val="single" w:color="auto" w:sz="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社会公益组织</w:t>
            </w:r>
          </w:p>
        </w:tc>
        <w:tc>
          <w:tcPr>
            <w:tcW w:w="688" w:type="dxa"/>
            <w:tcBorders>
              <w:top w:val="single" w:color="auto" w:sz="8" w:space="0"/>
              <w:left w:val="single" w:color="auto" w:sz="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法律服务机构</w:t>
            </w:r>
          </w:p>
        </w:tc>
        <w:tc>
          <w:tcPr>
            <w:tcW w:w="688" w:type="dxa"/>
            <w:tcBorders>
              <w:top w:val="single" w:color="auto" w:sz="8" w:space="0"/>
              <w:left w:val="single" w:color="auto" w:sz="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其他</w:t>
            </w:r>
          </w:p>
        </w:tc>
        <w:tc>
          <w:tcPr>
            <w:tcW w:w="689" w:type="dxa"/>
            <w:vMerge w:val="continue"/>
            <w:tcBorders>
              <w:top w:val="single" w:color="auto" w:sz="8" w:space="0"/>
              <w:left w:val="single" w:color="auto" w:sz="2" w:space="0"/>
              <w:bottom w:val="outset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一、本年新收政府信息公开申请数量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二、上年结转政府信息公开申请数量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restart"/>
            <w:tcBorders>
              <w:top w:val="single" w:color="auto" w:sz="2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三、本年度办理结果</w:t>
            </w: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（一）予以公开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single" w:color="auto" w:sz="2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（二）部分公开</w:t>
            </w: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（区分处理的，只计这一情形，不计其他情形）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single" w:color="auto" w:sz="2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single" w:color="auto" w:sz="2" w:space="0"/>
              <w:left w:val="single" w:color="auto" w:sz="2" w:space="0"/>
              <w:bottom w:val="outset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（三）不予公开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1.属于国家秘密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single" w:color="auto" w:sz="2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2" w:space="0"/>
              <w:left w:val="single" w:color="auto" w:sz="2" w:space="0"/>
              <w:bottom w:val="outset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2.其他法律行政法规禁止公开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single" w:color="auto" w:sz="2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2" w:space="0"/>
              <w:left w:val="single" w:color="auto" w:sz="2" w:space="0"/>
              <w:bottom w:val="outset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3.危及“三安全一稳定”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single" w:color="auto" w:sz="2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2" w:space="0"/>
              <w:left w:val="single" w:color="auto" w:sz="2" w:space="0"/>
              <w:bottom w:val="outset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4.保护第三方合法权益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single" w:color="auto" w:sz="2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2" w:space="0"/>
              <w:left w:val="single" w:color="auto" w:sz="2" w:space="0"/>
              <w:bottom w:val="outset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5.属于三类内部事务信息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single" w:color="auto" w:sz="2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2" w:space="0"/>
              <w:left w:val="single" w:color="auto" w:sz="2" w:space="0"/>
              <w:bottom w:val="outset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6.属于四类过程性信息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single" w:color="auto" w:sz="2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2" w:space="0"/>
              <w:left w:val="single" w:color="auto" w:sz="2" w:space="0"/>
              <w:bottom w:val="outset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7.属于行政执法案卷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single" w:color="auto" w:sz="2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2" w:space="0"/>
              <w:left w:val="single" w:color="auto" w:sz="2" w:space="0"/>
              <w:bottom w:val="outset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8.属于行政查询事项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single" w:color="auto" w:sz="2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single" w:color="auto" w:sz="2" w:space="0"/>
              <w:left w:val="single" w:color="auto" w:sz="2" w:space="0"/>
              <w:bottom w:val="outset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（四）无法提供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1.本机关不掌握相关政府信息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single" w:color="auto" w:sz="2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2" w:space="0"/>
              <w:left w:val="single" w:color="auto" w:sz="2" w:space="0"/>
              <w:bottom w:val="outset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2.没有现成信息需要另行制作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single" w:color="auto" w:sz="2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2" w:space="0"/>
              <w:left w:val="single" w:color="auto" w:sz="2" w:space="0"/>
              <w:bottom w:val="outset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3.补正后申请内容仍不明确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single" w:color="auto" w:sz="2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single" w:color="auto" w:sz="2" w:space="0"/>
              <w:left w:val="single" w:color="auto" w:sz="2" w:space="0"/>
              <w:bottom w:val="outset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（五）不予处理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1.信访举报投诉类申请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single" w:color="auto" w:sz="2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2" w:space="0"/>
              <w:left w:val="single" w:color="auto" w:sz="2" w:space="0"/>
              <w:bottom w:val="outset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2.重复申请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single" w:color="auto" w:sz="2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2" w:space="0"/>
              <w:left w:val="single" w:color="auto" w:sz="2" w:space="0"/>
              <w:bottom w:val="outset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3.要求提供公开出版物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single" w:color="auto" w:sz="2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2" w:space="0"/>
              <w:left w:val="single" w:color="auto" w:sz="2" w:space="0"/>
              <w:bottom w:val="outset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4.无正当理由大量反复申请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768" w:type="dxa"/>
            <w:vMerge w:val="continue"/>
            <w:tcBorders>
              <w:top w:val="single" w:color="auto" w:sz="2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2" w:space="0"/>
              <w:left w:val="single" w:color="auto" w:sz="2" w:space="0"/>
              <w:bottom w:val="outset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single" w:color="auto" w:sz="2" w:space="0"/>
              <w:left w:val="single" w:color="auto" w:sz="2" w:space="0"/>
              <w:bottom w:val="outset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5.要求行政机关确认或重新出具已获取信息</w:t>
            </w:r>
          </w:p>
        </w:tc>
        <w:tc>
          <w:tcPr>
            <w:tcW w:w="688" w:type="dxa"/>
            <w:tcBorders>
              <w:top w:val="single" w:color="auto" w:sz="2" w:space="0"/>
              <w:left w:val="single" w:color="auto" w:sz="2" w:space="0"/>
              <w:bottom w:val="outset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single" w:color="auto" w:sz="2" w:space="0"/>
              <w:left w:val="single" w:color="auto" w:sz="2" w:space="0"/>
              <w:bottom w:val="outset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single" w:color="auto" w:sz="2" w:space="0"/>
              <w:left w:val="single" w:color="auto" w:sz="2" w:space="0"/>
              <w:bottom w:val="outset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single" w:color="auto" w:sz="2" w:space="0"/>
              <w:left w:val="single" w:color="auto" w:sz="2" w:space="0"/>
              <w:bottom w:val="outset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single" w:color="auto" w:sz="2" w:space="0"/>
              <w:left w:val="single" w:color="auto" w:sz="2" w:space="0"/>
              <w:bottom w:val="outset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single" w:color="auto" w:sz="2" w:space="0"/>
              <w:left w:val="single" w:color="auto" w:sz="2" w:space="0"/>
              <w:bottom w:val="outset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single" w:color="auto" w:sz="2" w:space="0"/>
              <w:left w:val="single" w:color="auto" w:sz="2" w:space="0"/>
              <w:bottom w:val="outset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single" w:color="auto" w:sz="2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single" w:color="auto" w:sz="2" w:space="0"/>
              <w:bottom w:val="outset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（六）其他处理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1.申请人无正当理由逾期不补正、行政机关不再处理其政府信息公开申请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single" w:color="auto" w:sz="2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single" w:color="auto" w:sz="2" w:space="0"/>
              <w:bottom w:val="outset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2.申请人逾期未按收费通知要求缴纳费用、行政机关不再处理其政府信息公开申请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single" w:color="auto" w:sz="2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single" w:color="auto" w:sz="2" w:space="0"/>
              <w:bottom w:val="outset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3.其他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single" w:color="auto" w:sz="2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（七）总计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四、结转下年度继续办理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</w:tr>
    </w:tbl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left"/>
      </w:pPr>
      <w:r>
        <w:rPr>
          <w:rFonts w:hint="eastAsia" w:ascii="黑体" w:hAnsi="宋体" w:eastAsia="黑体" w:cs="黑体"/>
          <w:kern w:val="2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left"/>
      </w:pPr>
      <w:r>
        <w:rPr>
          <w:rFonts w:hint="eastAsia" w:ascii="黑体" w:hAnsi="宋体" w:eastAsia="黑体" w:cs="黑体"/>
          <w:kern w:val="2"/>
          <w:sz w:val="32"/>
          <w:szCs w:val="32"/>
          <w:lang w:val="en-US" w:eastAsia="zh-CN" w:bidi="ar"/>
        </w:rPr>
        <w:t>四、政府信息公开行政复议、行政诉讼情况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center"/>
      </w:pPr>
      <w:r>
        <w:rPr>
          <w:rFonts w:hint="eastAsia" w:ascii="宋体" w:hAnsi="宋体" w:eastAsia="宋体" w:cs="宋体"/>
          <w:color w:val="333333"/>
          <w:kern w:val="2"/>
          <w:sz w:val="24"/>
          <w:szCs w:val="24"/>
          <w:lang w:val="en-US" w:eastAsia="zh-CN" w:bidi="ar"/>
        </w:rPr>
        <w:t xml:space="preserve"> </w:t>
      </w:r>
    </w:p>
    <w:tbl>
      <w:tblPr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49"/>
        <w:gridCol w:w="649"/>
        <w:gridCol w:w="649"/>
        <w:gridCol w:w="649"/>
        <w:gridCol w:w="649"/>
        <w:gridCol w:w="649"/>
        <w:gridCol w:w="649"/>
        <w:gridCol w:w="650"/>
        <w:gridCol w:w="650"/>
        <w:gridCol w:w="650"/>
        <w:gridCol w:w="651"/>
        <w:gridCol w:w="651"/>
        <w:gridCol w:w="651"/>
        <w:gridCol w:w="651"/>
        <w:gridCol w:w="65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1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行政复议</w:t>
            </w:r>
          </w:p>
        </w:tc>
        <w:tc>
          <w:tcPr>
            <w:tcW w:w="6428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结果维持</w:t>
            </w:r>
          </w:p>
        </w:tc>
        <w:tc>
          <w:tcPr>
            <w:tcW w:w="642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结果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纠正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其他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结果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尚未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审结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总计</w:t>
            </w:r>
          </w:p>
        </w:tc>
        <w:tc>
          <w:tcPr>
            <w:tcW w:w="3213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未经复议直接起诉</w:t>
            </w:r>
          </w:p>
        </w:tc>
        <w:tc>
          <w:tcPr>
            <w:tcW w:w="3215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结果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维持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结果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纠正</w:t>
            </w:r>
          </w:p>
        </w:tc>
        <w:tc>
          <w:tcPr>
            <w:tcW w:w="64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其他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结果</w:t>
            </w:r>
          </w:p>
        </w:tc>
        <w:tc>
          <w:tcPr>
            <w:tcW w:w="64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尚未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审结</w:t>
            </w:r>
          </w:p>
        </w:tc>
        <w:tc>
          <w:tcPr>
            <w:tcW w:w="64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总计</w:t>
            </w:r>
          </w:p>
        </w:tc>
        <w:tc>
          <w:tcPr>
            <w:tcW w:w="64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结果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维持</w:t>
            </w:r>
          </w:p>
        </w:tc>
        <w:tc>
          <w:tcPr>
            <w:tcW w:w="64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结果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纠正</w:t>
            </w:r>
          </w:p>
        </w:tc>
        <w:tc>
          <w:tcPr>
            <w:tcW w:w="64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其他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结果</w:t>
            </w:r>
          </w:p>
        </w:tc>
        <w:tc>
          <w:tcPr>
            <w:tcW w:w="64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尚未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审结</w:t>
            </w:r>
          </w:p>
        </w:tc>
        <w:tc>
          <w:tcPr>
            <w:tcW w:w="64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</w:tr>
    </w:tbl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left"/>
      </w:pPr>
      <w:r>
        <w:rPr>
          <w:rFonts w:hint="default" w:ascii="Times New Roman" w:hAnsi="Times New Roman" w:eastAsia="宋体" w:cs="Times New Roman"/>
          <w:kern w:val="2"/>
          <w:sz w:val="21"/>
          <w:szCs w:val="21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left"/>
      </w:pPr>
      <w:r>
        <w:rPr>
          <w:rFonts w:hint="eastAsia" w:ascii="黑体" w:hAnsi="宋体" w:eastAsia="黑体" w:cs="黑体"/>
          <w:kern w:val="2"/>
          <w:sz w:val="32"/>
          <w:szCs w:val="32"/>
          <w:lang w:val="en-US" w:eastAsia="zh-CN" w:bidi="ar"/>
        </w:rPr>
        <w:t>（五）存在的主要问题及改进情况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 w:firstLine="640" w:firstLineChars="200"/>
        <w:jc w:val="left"/>
      </w:pPr>
      <w:r>
        <w:rPr>
          <w:rFonts w:hint="eastAsia" w:ascii="方正仿宋_GBK" w:hAnsi="方正仿宋_GBK" w:eastAsia="方正仿宋_GBK" w:cs="方正仿宋_GBK"/>
          <w:color w:val="333333"/>
          <w:kern w:val="0"/>
          <w:sz w:val="32"/>
          <w:szCs w:val="32"/>
          <w:shd w:val="clear" w:fill="FFFFFF"/>
          <w:lang w:val="en-US" w:eastAsia="zh-CN" w:bidi="ar"/>
        </w:rPr>
        <w:t>（一）2021年度政策解读质量较低，解读形式不够丰富。2022年，充分发挥科室的积极性，并借助第三方的力量，运用媒体解读、领导解读、专家解读、图片解读等方式多渠道、多层次、多形式解读政策，提高政策覆盖面、普及率。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 w:firstLine="640" w:firstLineChars="200"/>
        <w:jc w:val="left"/>
      </w:pPr>
      <w:r>
        <w:rPr>
          <w:rFonts w:hint="eastAsia" w:ascii="方正仿宋_GBK" w:hAnsi="方正仿宋_GBK" w:eastAsia="方正仿宋_GBK" w:cs="方正仿宋_GBK"/>
          <w:color w:val="333333"/>
          <w:kern w:val="0"/>
          <w:sz w:val="32"/>
          <w:szCs w:val="32"/>
          <w:shd w:val="clear" w:fill="FFFFFF"/>
          <w:lang w:val="en-US" w:eastAsia="zh-CN" w:bidi="ar"/>
        </w:rPr>
        <w:t>（二）意见征集形式不够丰富，未通过听证座谈、咨询协商、媒体沟通等多种形式向社会征求意见。2022年，严格执行重大决策意见征集的要求，根据政策特点，分别采用听证座谈、社会征集、部门函询、媒体沟通等方式充分征求相关意见，增强政策的针对性、可操作性。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 w:firstLine="640" w:firstLineChars="200"/>
        <w:jc w:val="left"/>
      </w:pPr>
      <w:r>
        <w:rPr>
          <w:rFonts w:hint="eastAsia" w:ascii="方正仿宋_GBK" w:hAnsi="方正仿宋_GBK" w:eastAsia="方正仿宋_GBK" w:cs="方正仿宋_GBK"/>
          <w:color w:val="333333"/>
          <w:kern w:val="0"/>
          <w:sz w:val="32"/>
          <w:szCs w:val="32"/>
          <w:shd w:val="clear" w:fill="FFFFFF"/>
          <w:lang w:val="en-US" w:eastAsia="zh-CN" w:bidi="ar"/>
        </w:rPr>
        <w:t>（三）市场监管规则与标准栏目信息发布数量不足，信息发布不及时。2022年，及时公布新增市场监管规则，加强调度及时全面公布相关工作信息，切实提高政策知晓率、透明度。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 w:firstLine="640" w:firstLineChars="200"/>
        <w:jc w:val="left"/>
      </w:pPr>
      <w:r>
        <w:rPr>
          <w:rFonts w:hint="eastAsia" w:ascii="黑体" w:hAnsi="宋体" w:eastAsia="黑体" w:cs="黑体"/>
          <w:kern w:val="2"/>
          <w:sz w:val="32"/>
          <w:szCs w:val="32"/>
          <w:lang w:val="en-US" w:eastAsia="zh-CN" w:bidi="ar"/>
        </w:rPr>
        <w:t>六、其他需要报告的事项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 w:firstLine="640" w:firstLineChars="200"/>
        <w:jc w:val="left"/>
      </w:pPr>
      <w:r>
        <w:rPr>
          <w:rFonts w:hint="eastAsia" w:ascii="方正仿宋_GBK" w:hAnsi="方正仿宋_GBK" w:eastAsia="方正仿宋_GBK" w:cs="方正仿宋_GBK"/>
          <w:color w:val="333333"/>
          <w:kern w:val="0"/>
          <w:sz w:val="32"/>
          <w:szCs w:val="32"/>
          <w:shd w:val="clear" w:fill="FFFFFF"/>
          <w:lang w:val="en-US" w:eastAsia="zh-CN" w:bidi="ar"/>
        </w:rPr>
        <w:t>按照《国务院办公厅关于印发〈政府信息公开信息处理费管理办法〉的通知》（国办函〔2020〕109号）规定的按件、按量收费标准，本年度没有产生信息公开处理费。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dit="readOnly" w:formatting="1" w:enforcement="1" w:cryptProviderType="rsaFull" w:cryptAlgorithmClass="hash" w:cryptAlgorithmType="typeAny" w:cryptAlgorithmSid="4" w:cryptSpinCount="0" w:hash="IxhIkkH0ICLy2ZSa213Szyhs2Co=" w:salt="gK1y2f1TT5akZdyXd2iTfQ==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FjZDM0MmIzNzNjMmRiODliN2FjNzBkNjI5NjVlNjIifQ=="/>
  </w:docVars>
  <w:rsids>
    <w:rsidRoot w:val="3F7B401E"/>
    <w:rsid w:val="3F7B4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2022-10-12T07:16:00Z</dcterms:created>
  <dc:creator>Administrator</dc:creator>
  <cp:lastModifiedBy>Administrator</cp:lastModifiedBy>
  <dcterms:modified xsi:type="dcterms:W3CDTF">2022-10-12T07:17:15Z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A429B88639F148E8B08CA1700554D0CF</vt:lpwstr>
  </property>
</Properties>
</file>