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F668">
      <w:pPr>
        <w:spacing w:line="560" w:lineRule="exact"/>
        <w:rPr>
          <w:rFonts w:ascii="TimesNewRoman" w:hAnsi="TimesNewRoman" w:eastAsia="黑体" w:cs="TimesNewRoman"/>
          <w:szCs w:val="32"/>
        </w:rPr>
      </w:pPr>
      <w:r>
        <w:rPr>
          <w:rFonts w:hint="eastAsia" w:ascii="黑体" w:hAnsi="黑体" w:eastAsia="黑体" w:cs="黑体"/>
          <w:szCs w:val="32"/>
        </w:rPr>
        <w:t>附件1-1</w:t>
      </w:r>
    </w:p>
    <w:p w14:paraId="7283BBBB"/>
    <w:p w14:paraId="0B272321"/>
    <w:p w14:paraId="043F73CA"/>
    <w:p w14:paraId="7A85818E"/>
    <w:p w14:paraId="18E5FDE1"/>
    <w:p w14:paraId="0CB60D64"/>
    <w:p w14:paraId="1F576D13"/>
    <w:p w14:paraId="066B2FD9"/>
    <w:p w14:paraId="08681B50">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eastAsia="zh-CN"/>
        </w:rPr>
        <w:t>淮北市纤维检验所</w:t>
      </w:r>
      <w:r>
        <w:rPr>
          <w:rFonts w:hint="eastAsia" w:ascii="宋体" w:hAnsi="宋体" w:eastAsia="宋体" w:cs="宋体"/>
          <w:b/>
          <w:sz w:val="44"/>
          <w:szCs w:val="44"/>
        </w:rPr>
        <w:t>2025年</w:t>
      </w:r>
    </w:p>
    <w:p w14:paraId="1F53865B">
      <w:pPr>
        <w:spacing w:line="560" w:lineRule="exact"/>
        <w:jc w:val="center"/>
        <w:rPr>
          <w:rFonts w:ascii="TimesNewRoman" w:hAnsi="TimesNewRoman" w:eastAsia="华文中宋" w:cs="TimesNewRoman"/>
          <w:b/>
          <w:sz w:val="44"/>
          <w:szCs w:val="44"/>
        </w:rPr>
      </w:pPr>
      <w:r>
        <w:rPr>
          <w:rFonts w:hint="eastAsia" w:ascii="宋体" w:hAnsi="宋体" w:eastAsia="宋体" w:cs="宋体"/>
          <w:b/>
          <w:sz w:val="44"/>
          <w:szCs w:val="44"/>
          <w:lang w:eastAsia="zh-CN"/>
        </w:rPr>
        <w:t>单位</w:t>
      </w:r>
      <w:r>
        <w:rPr>
          <w:rFonts w:hint="eastAsia" w:ascii="宋体" w:hAnsi="宋体" w:eastAsia="宋体" w:cs="宋体"/>
          <w:b/>
          <w:sz w:val="44"/>
          <w:szCs w:val="44"/>
        </w:rPr>
        <w:t>预算</w:t>
      </w:r>
    </w:p>
    <w:p w14:paraId="2E79887C"/>
    <w:p w14:paraId="5676DA14"/>
    <w:p w14:paraId="5A26E1E5"/>
    <w:p w14:paraId="07177AB1"/>
    <w:p w14:paraId="3E284653"/>
    <w:p w14:paraId="715595AA"/>
    <w:p w14:paraId="59B312BF"/>
    <w:p w14:paraId="1BEC2ACB"/>
    <w:p w14:paraId="7420830E"/>
    <w:p w14:paraId="3DBD090A"/>
    <w:p w14:paraId="2DD49972"/>
    <w:p w14:paraId="548F273B"/>
    <w:p w14:paraId="150482A0"/>
    <w:p w14:paraId="2BD38753"/>
    <w:p w14:paraId="6D979BC3"/>
    <w:p w14:paraId="2D6BFE74"/>
    <w:p w14:paraId="6B30D278"/>
    <w:p w14:paraId="534BC6F9"/>
    <w:p w14:paraId="4A2A0221"/>
    <w:p w14:paraId="2EC45C22"/>
    <w:p w14:paraId="7F68995A"/>
    <w:p w14:paraId="33040499"/>
    <w:p w14:paraId="76BC365A">
      <w:pPr>
        <w:pStyle w:val="4"/>
        <w:adjustRightInd w:val="0"/>
        <w:snapToGrid w:val="0"/>
        <w:spacing w:line="560" w:lineRule="exact"/>
        <w:jc w:val="center"/>
        <w:rPr>
          <w:rFonts w:ascii="TimesNewRoman" w:hAnsi="TimesNewRoman" w:eastAsia="黑体" w:cs="TimesNewRoman"/>
          <w:bCs/>
          <w:sz w:val="44"/>
          <w:szCs w:val="44"/>
        </w:rPr>
      </w:pPr>
    </w:p>
    <w:p w14:paraId="08700111">
      <w:pPr>
        <w:pStyle w:val="4"/>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1139AEC2"/>
    <w:p w14:paraId="76E9DC52"/>
    <w:p w14:paraId="65F5ADA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9208BDB"/>
    <w:p w14:paraId="3899243B">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第一部分 </w:t>
      </w:r>
      <w:r>
        <w:rPr>
          <w:rFonts w:hint="eastAsia" w:ascii="仿宋" w:hAnsi="仿宋" w:eastAsia="仿宋" w:cs="仿宋"/>
          <w:b/>
          <w:sz w:val="32"/>
          <w:szCs w:val="32"/>
          <w:lang w:eastAsia="zh-CN"/>
        </w:rPr>
        <w:t>单位</w:t>
      </w:r>
      <w:r>
        <w:rPr>
          <w:rFonts w:hint="eastAsia" w:ascii="仿宋" w:hAnsi="仿宋" w:eastAsia="仿宋" w:cs="仿宋"/>
          <w:b/>
          <w:sz w:val="32"/>
          <w:szCs w:val="32"/>
        </w:rPr>
        <w:t>概况</w:t>
      </w:r>
    </w:p>
    <w:p w14:paraId="1FEE237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14:paraId="543FE4C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预算构成</w:t>
      </w:r>
    </w:p>
    <w:p w14:paraId="4265EB3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 、2025年度主要工作任务</w:t>
      </w:r>
    </w:p>
    <w:p w14:paraId="01A2804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第二部分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预算表</w:t>
      </w:r>
    </w:p>
    <w:p w14:paraId="1C70F6B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2025年收支总表</w:t>
      </w:r>
    </w:p>
    <w:p w14:paraId="794658A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2025年收入总表</w:t>
      </w:r>
    </w:p>
    <w:p w14:paraId="7A52935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2025年支出总表</w:t>
      </w:r>
    </w:p>
    <w:p w14:paraId="0C27139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2025年财政拨款收支总表</w:t>
      </w:r>
    </w:p>
    <w:p w14:paraId="7CDF5F2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2025年一般公共预算支出表</w:t>
      </w:r>
    </w:p>
    <w:p w14:paraId="5C02A5B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2025年一般公共预算基本支出表</w:t>
      </w:r>
    </w:p>
    <w:p w14:paraId="205319C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2025年政府性基金预算支出表</w:t>
      </w:r>
    </w:p>
    <w:p w14:paraId="56ADC32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2025年国有资本经营预算支出表</w:t>
      </w:r>
    </w:p>
    <w:p w14:paraId="7FAAA95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2025年项目支出表</w:t>
      </w:r>
    </w:p>
    <w:p w14:paraId="108FE27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2025年政府采购支出表</w:t>
      </w:r>
    </w:p>
    <w:p w14:paraId="70F3B63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2025年政府购买服务支出表</w:t>
      </w:r>
    </w:p>
    <w:p w14:paraId="3A2811A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2025年通用资产配置支出表</w:t>
      </w:r>
    </w:p>
    <w:p w14:paraId="0447C3CE">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第三部分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预算情况说明</w:t>
      </w:r>
    </w:p>
    <w:p w14:paraId="72A98BC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30422AD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7503AD5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1BA5392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09ECBE2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34A95AD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A2087B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1150EE5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3F62051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0470395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75E5359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7CDD038C">
      <w:pPr>
        <w:pStyle w:val="4"/>
        <w:adjustRightInd w:val="0"/>
        <w:snapToGrid w:val="0"/>
        <w:spacing w:line="400" w:lineRule="exact"/>
        <w:ind w:firstLine="800" w:firstLineChars="25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12、关于2025年通用资产配置支出表的说明</w:t>
      </w:r>
    </w:p>
    <w:p w14:paraId="4A47D8E1">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、其他重要事项情况说明</w:t>
      </w:r>
    </w:p>
    <w:p w14:paraId="1035D58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第四部分 名词解释</w:t>
      </w:r>
    </w:p>
    <w:p w14:paraId="77164185">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63B7E21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预算纳入绩效考评项目表</w:t>
      </w:r>
    </w:p>
    <w:p w14:paraId="427B515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淮北市纤维检验所</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预算专项资金管理清单（专栏公开）</w:t>
      </w:r>
    </w:p>
    <w:p w14:paraId="05ECDCDB">
      <w:pPr>
        <w:pStyle w:val="4"/>
        <w:adjustRightInd w:val="0"/>
        <w:snapToGrid w:val="0"/>
        <w:spacing w:line="400" w:lineRule="exact"/>
        <w:ind w:firstLine="800" w:firstLineChars="250"/>
        <w:rPr>
          <w:rFonts w:ascii="TimesNewRoman" w:hAnsi="TimesNewRoman" w:eastAsia="仿宋_GB2312" w:cs="TimesNewRoman"/>
          <w:bCs/>
          <w:sz w:val="32"/>
          <w:szCs w:val="32"/>
        </w:rPr>
      </w:pPr>
    </w:p>
    <w:p w14:paraId="3E56BAE5">
      <w:pPr>
        <w:pStyle w:val="4"/>
        <w:adjustRightInd w:val="0"/>
        <w:snapToGrid w:val="0"/>
        <w:spacing w:line="560" w:lineRule="exact"/>
        <w:jc w:val="center"/>
        <w:rPr>
          <w:rFonts w:hint="eastAsia" w:ascii="TimesNewRoman" w:hAnsi="TimesNewRoman" w:eastAsia="黑体" w:cs="TimesNewRoman"/>
          <w:bCs/>
          <w:sz w:val="36"/>
          <w:szCs w:val="36"/>
        </w:rPr>
      </w:pPr>
    </w:p>
    <w:p w14:paraId="66E42196">
      <w:pPr>
        <w:pStyle w:val="4"/>
        <w:adjustRightInd w:val="0"/>
        <w:snapToGrid w:val="0"/>
        <w:spacing w:line="560" w:lineRule="exact"/>
        <w:jc w:val="center"/>
        <w:rPr>
          <w:rFonts w:hint="eastAsia" w:ascii="TimesNewRoman" w:hAnsi="TimesNewRoman" w:eastAsia="黑体" w:cs="TimesNewRoman"/>
          <w:bCs/>
          <w:sz w:val="36"/>
          <w:szCs w:val="36"/>
        </w:rPr>
      </w:pPr>
    </w:p>
    <w:p w14:paraId="5E357FE5">
      <w:pPr>
        <w:pStyle w:val="4"/>
        <w:adjustRightInd w:val="0"/>
        <w:snapToGrid w:val="0"/>
        <w:spacing w:line="560" w:lineRule="exact"/>
        <w:jc w:val="center"/>
        <w:rPr>
          <w:rFonts w:hint="eastAsia" w:ascii="TimesNewRoman" w:hAnsi="TimesNewRoman" w:eastAsia="黑体" w:cs="TimesNewRoman"/>
          <w:bCs/>
          <w:sz w:val="36"/>
          <w:szCs w:val="36"/>
        </w:rPr>
      </w:pPr>
    </w:p>
    <w:p w14:paraId="40724D2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2899FA09"/>
    <w:p w14:paraId="6C9240F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7727BC6">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default" w:ascii="仿宋_GB2312" w:hAnsi="黑体" w:eastAsia="仿宋_GB2312"/>
          <w:bCs/>
          <w:sz w:val="32"/>
          <w:szCs w:val="32"/>
        </w:rPr>
        <w:t>为纤维产品公平贸易提供检验保障</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承担</w:t>
      </w:r>
      <w:r>
        <w:rPr>
          <w:rFonts w:hint="default" w:ascii="仿宋_GB2312" w:hAnsi="黑体" w:eastAsia="仿宋_GB2312"/>
          <w:bCs/>
          <w:sz w:val="32"/>
          <w:szCs w:val="32"/>
        </w:rPr>
        <w:t>纤维公证检验</w:t>
      </w:r>
      <w:r>
        <w:rPr>
          <w:rFonts w:hint="eastAsia" w:ascii="仿宋_GB2312" w:hAnsi="黑体" w:eastAsia="仿宋_GB2312"/>
          <w:bCs/>
          <w:sz w:val="32"/>
          <w:szCs w:val="32"/>
          <w:lang w:eastAsia="zh-CN"/>
        </w:rPr>
        <w:t>、</w:t>
      </w:r>
      <w:r>
        <w:rPr>
          <w:rFonts w:hint="default" w:ascii="仿宋_GB2312" w:hAnsi="黑体" w:eastAsia="仿宋_GB2312"/>
          <w:bCs/>
          <w:sz w:val="32"/>
          <w:szCs w:val="32"/>
        </w:rPr>
        <w:t>纤维及其制品质量监督执法、质量检验、纤维科技成果检测鉴定、纤维质量仲裁检验、纤维检验管理、纤维实物标准、纤维检验测试技术研究开发、纤维产品质量认证</w:t>
      </w:r>
      <w:r>
        <w:rPr>
          <w:rFonts w:hint="eastAsia" w:ascii="TimesNewRoman" w:hAnsi="TimesNewRoman" w:eastAsia="仿宋_GB2312" w:cs="TimesNewRoman"/>
          <w:bCs/>
          <w:sz w:val="32"/>
          <w:szCs w:val="32"/>
        </w:rPr>
        <w:t>。</w:t>
      </w:r>
    </w:p>
    <w:p w14:paraId="5D5126A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5FCAFF5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淮北市纤</w:t>
      </w:r>
      <w:r>
        <w:rPr>
          <w:rFonts w:hint="eastAsia" w:ascii="仿宋" w:hAnsi="仿宋" w:eastAsia="仿宋" w:cs="仿宋"/>
          <w:bCs/>
          <w:sz w:val="32"/>
          <w:szCs w:val="32"/>
          <w:lang w:eastAsia="zh-CN"/>
        </w:rPr>
        <w:t>维检验所</w:t>
      </w:r>
      <w:r>
        <w:rPr>
          <w:rFonts w:hint="eastAsia" w:ascii="仿宋" w:hAnsi="仿宋" w:eastAsia="仿宋" w:cs="仿宋"/>
          <w:sz w:val="32"/>
          <w:szCs w:val="32"/>
        </w:rPr>
        <w:t>2025年度</w:t>
      </w:r>
      <w:r>
        <w:rPr>
          <w:rFonts w:hint="eastAsia" w:ascii="仿宋" w:hAnsi="仿宋" w:eastAsia="仿宋" w:cs="仿宋"/>
          <w:sz w:val="32"/>
          <w:szCs w:val="32"/>
          <w:lang w:eastAsia="zh-CN"/>
        </w:rPr>
        <w:t>单位</w:t>
      </w:r>
      <w:r>
        <w:rPr>
          <w:rFonts w:hint="eastAsia" w:ascii="TimesNewRoman" w:hAnsi="TimesNewRoman" w:eastAsia="仿宋_GB2312" w:cs="TimesNewRoman"/>
          <w:sz w:val="32"/>
          <w:szCs w:val="32"/>
        </w:rPr>
        <w:t>预算仅包括本级预算，无其他下属单位预算。</w:t>
      </w:r>
    </w:p>
    <w:p w14:paraId="144A7A4A">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三、2025年度主要工作任务</w:t>
      </w:r>
    </w:p>
    <w:p w14:paraId="20AEEDB9">
      <w:pPr>
        <w:pStyle w:val="4"/>
        <w:numPr>
          <w:ilvl w:val="0"/>
          <w:numId w:val="1"/>
        </w:numPr>
        <w:adjustRightInd w:val="0"/>
        <w:snapToGrid w:val="0"/>
        <w:spacing w:line="560" w:lineRule="exact"/>
        <w:ind w:firstLine="627" w:firstLineChars="196"/>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开展国储棉、新疆监管棉等各类型棉花公证检验，服务棉花产业高质量发展。</w:t>
      </w:r>
    </w:p>
    <w:p w14:paraId="64A9B3A5">
      <w:pPr>
        <w:pStyle w:val="4"/>
        <w:numPr>
          <w:ilvl w:val="0"/>
          <w:numId w:val="1"/>
        </w:numPr>
        <w:adjustRightInd w:val="0"/>
        <w:snapToGrid w:val="0"/>
        <w:spacing w:line="56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lang w:val="en-US" w:eastAsia="zh-CN"/>
        </w:rPr>
        <w:t>开展纤维及其制品市场监督事务，开展产品质量监督抽查和风险监测工作。</w:t>
      </w:r>
    </w:p>
    <w:p w14:paraId="44E5A899">
      <w:pPr>
        <w:pStyle w:val="4"/>
        <w:numPr>
          <w:ilvl w:val="0"/>
          <w:numId w:val="1"/>
        </w:numPr>
        <w:adjustRightInd w:val="0"/>
        <w:snapToGrid w:val="0"/>
        <w:spacing w:line="56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lang w:val="en-US" w:eastAsia="zh-CN"/>
        </w:rPr>
        <w:t>提升检验能力，完成纤维及其制品检验工作。</w:t>
      </w:r>
    </w:p>
    <w:p w14:paraId="00C41BDB">
      <w:pPr>
        <w:rPr>
          <w:rFonts w:hint="eastAsia" w:eastAsiaTheme="minorEastAsia"/>
          <w:lang w:val="en-US" w:eastAsia="zh-CN"/>
        </w:rPr>
      </w:pPr>
      <w:r>
        <w:rPr>
          <w:rFonts w:hint="eastAsia"/>
          <w:lang w:val="en-US" w:eastAsia="zh-CN"/>
        </w:rPr>
        <w:t>.</w:t>
      </w:r>
    </w:p>
    <w:p w14:paraId="6979C8CA">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436B32E3">
      <w:pPr>
        <w:pStyle w:val="4"/>
        <w:adjustRightInd w:val="0"/>
        <w:snapToGrid w:val="0"/>
        <w:spacing w:line="560" w:lineRule="exact"/>
        <w:ind w:firstLine="627" w:firstLineChars="196"/>
        <w:jc w:val="center"/>
        <w:rPr>
          <w:rFonts w:hint="eastAsia" w:ascii="仿宋" w:hAnsi="仿宋" w:eastAsia="仿宋" w:cs="仿宋"/>
          <w:bCs/>
          <w:sz w:val="32"/>
          <w:szCs w:val="32"/>
        </w:rPr>
      </w:pPr>
      <w:r>
        <w:rPr>
          <w:rFonts w:hint="eastAsia" w:ascii="仿宋" w:hAnsi="仿宋" w:eastAsia="仿宋" w:cs="仿宋"/>
          <w:bCs/>
          <w:sz w:val="32"/>
          <w:szCs w:val="32"/>
        </w:rPr>
        <w:t>见附件1-2</w:t>
      </w:r>
    </w:p>
    <w:p w14:paraId="2A94F709">
      <w:r>
        <w:t xml:space="preserve">                                        </w:t>
      </w:r>
    </w:p>
    <w:p w14:paraId="1FDBB549">
      <w:pPr>
        <w:pStyle w:val="4"/>
        <w:adjustRightInd w:val="0"/>
        <w:snapToGrid w:val="0"/>
        <w:spacing w:line="560" w:lineRule="exact"/>
        <w:jc w:val="center"/>
        <w:rPr>
          <w:rFonts w:ascii="TimesNewRoman" w:hAnsi="TimesNewRoman" w:eastAsia="黑体" w:cs="TimesNewRoman"/>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23FFDFE9"/>
    <w:p w14:paraId="3329169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一、关于2025年收支总表的说明</w:t>
      </w:r>
    </w:p>
    <w:p w14:paraId="659DFF7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 w:hAnsi="仿宋" w:eastAsia="仿宋" w:cs="仿宋"/>
          <w:sz w:val="32"/>
          <w:szCs w:val="32"/>
        </w:rPr>
        <w:t>按照综合预算的原则，</w:t>
      </w:r>
      <w:r>
        <w:rPr>
          <w:rFonts w:hint="eastAsia" w:ascii="仿宋" w:hAnsi="仿宋" w:eastAsia="仿宋" w:cs="仿宋"/>
          <w:sz w:val="32"/>
          <w:szCs w:val="32"/>
          <w:lang w:eastAsia="zh-CN"/>
        </w:rPr>
        <w:t>淮北市纤维检验所</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w:t>
      </w:r>
      <w:r>
        <w:rPr>
          <w:rFonts w:hint="eastAsia" w:ascii="仿宋" w:hAnsi="仿宋" w:eastAsia="仿宋" w:cs="仿宋"/>
          <w:sz w:val="32"/>
          <w:szCs w:val="32"/>
          <w:lang w:eastAsia="zh-CN"/>
        </w:rPr>
        <w:t>淮北市纤维检验所</w:t>
      </w:r>
      <w:r>
        <w:rPr>
          <w:rFonts w:hint="eastAsia" w:ascii="仿宋" w:hAnsi="仿宋" w:eastAsia="仿宋" w:cs="仿宋"/>
          <w:sz w:val="32"/>
          <w:szCs w:val="32"/>
        </w:rPr>
        <w:t>2025年收支总预算</w:t>
      </w:r>
      <w:r>
        <w:rPr>
          <w:rFonts w:hint="eastAsia" w:ascii="仿宋" w:hAnsi="仿宋" w:eastAsia="仿宋" w:cs="仿宋"/>
          <w:sz w:val="32"/>
          <w:szCs w:val="32"/>
          <w:lang w:val="en-US" w:eastAsia="zh-CN"/>
        </w:rPr>
        <w:t>195.78</w:t>
      </w:r>
      <w:r>
        <w:rPr>
          <w:rFonts w:hint="eastAsia" w:ascii="仿宋" w:hAnsi="仿宋" w:eastAsia="仿宋" w:cs="仿宋"/>
          <w:sz w:val="32"/>
          <w:szCs w:val="32"/>
        </w:rPr>
        <w:t>万元，收入</w:t>
      </w:r>
      <w:r>
        <w:rPr>
          <w:rFonts w:hint="eastAsia" w:ascii="仿宋" w:hAnsi="仿宋" w:eastAsia="仿宋" w:cs="仿宋"/>
          <w:sz w:val="32"/>
          <w:szCs w:val="32"/>
          <w:lang w:val="en-US" w:eastAsia="zh-CN"/>
        </w:rPr>
        <w:t>全部是</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195.78万元</w:t>
      </w:r>
      <w:r>
        <w:rPr>
          <w:rFonts w:hint="eastAsia" w:ascii="仿宋" w:hAnsi="仿宋" w:eastAsia="仿宋" w:cs="仿宋"/>
          <w:sz w:val="32"/>
          <w:szCs w:val="32"/>
        </w:rPr>
        <w:t>，支出包括：一般公共服务支出、社会保障和就业支出、卫生健康支出、住房保障支出。</w:t>
      </w:r>
    </w:p>
    <w:p w14:paraId="1EFC8412">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二、关于2025年收入总表的说明</w:t>
      </w:r>
    </w:p>
    <w:p w14:paraId="33F00F1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2025年收入预算</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万元，其中，本年收入</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w:t>
      </w:r>
    </w:p>
    <w:p w14:paraId="38AB9099">
      <w:pPr>
        <w:ind w:firstLine="643" w:firstLineChars="200"/>
        <w:rPr>
          <w:rFonts w:ascii="TimesNewRoman" w:hAnsi="TimesNewRoman" w:eastAsia="仿宋_GB2312" w:cs="TimesNewRoman"/>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val="en-US" w:eastAsia="zh-CN"/>
        </w:rPr>
        <w:t>195.78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%，比2024年预算减少</w:t>
      </w:r>
      <w:r>
        <w:rPr>
          <w:rFonts w:hint="eastAsia" w:ascii="仿宋" w:hAnsi="仿宋" w:eastAsia="仿宋" w:cs="仿宋"/>
          <w:kern w:val="0"/>
          <w:sz w:val="32"/>
          <w:szCs w:val="32"/>
          <w:lang w:val="en-US" w:eastAsia="zh-CN"/>
        </w:rPr>
        <w:t>5.55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2.76</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人员工资变动基本支出减少</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本单位2024年及2025年均未安排政府性基金预算</w:t>
      </w:r>
      <w:r>
        <w:rPr>
          <w:rFonts w:hint="eastAsia" w:ascii="仿宋" w:hAnsi="仿宋" w:eastAsia="仿宋" w:cs="仿宋"/>
          <w:kern w:val="0"/>
          <w:sz w:val="32"/>
          <w:szCs w:val="32"/>
        </w:rPr>
        <w:t>；财政专户管理资金收入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本单位2024年及2025年度均未安排财政专户管理资金</w:t>
      </w:r>
      <w:r>
        <w:rPr>
          <w:rFonts w:hint="eastAsia" w:ascii="仿宋" w:hAnsi="仿宋" w:eastAsia="仿宋" w:cs="仿宋"/>
          <w:kern w:val="0"/>
          <w:sz w:val="32"/>
          <w:szCs w:val="32"/>
        </w:rPr>
        <w:t>。</w:t>
      </w:r>
    </w:p>
    <w:p w14:paraId="7760F5F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三、关于2025年支出总表的说明</w:t>
      </w:r>
    </w:p>
    <w:p w14:paraId="6DFAD25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2025年支出预算</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5.55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2.76</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人员工资变动基本支出减少</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74.45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38.03</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121.33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61.97</w:t>
      </w:r>
      <w:r>
        <w:rPr>
          <w:rFonts w:hint="eastAsia" w:ascii="仿宋" w:hAnsi="仿宋" w:eastAsia="仿宋" w:cs="仿宋"/>
          <w:kern w:val="0"/>
          <w:sz w:val="32"/>
          <w:szCs w:val="32"/>
        </w:rPr>
        <w:t>%，主要用于</w:t>
      </w:r>
      <w:r>
        <w:rPr>
          <w:rFonts w:hint="eastAsia" w:ascii="仿宋" w:hAnsi="仿宋" w:eastAsia="仿宋" w:cs="仿宋"/>
          <w:kern w:val="0"/>
          <w:sz w:val="32"/>
          <w:szCs w:val="32"/>
          <w:lang w:val="en-US" w:eastAsia="zh-CN"/>
        </w:rPr>
        <w:t>棉花</w:t>
      </w:r>
      <w:r>
        <w:rPr>
          <w:rFonts w:hint="eastAsia" w:ascii="仿宋" w:hAnsi="仿宋" w:eastAsia="仿宋" w:cs="仿宋"/>
          <w:kern w:val="0"/>
          <w:sz w:val="32"/>
          <w:szCs w:val="32"/>
        </w:rPr>
        <w:t>公证检验</w:t>
      </w:r>
      <w:r>
        <w:rPr>
          <w:rFonts w:hint="eastAsia" w:ascii="仿宋" w:hAnsi="仿宋" w:eastAsia="仿宋" w:cs="仿宋"/>
          <w:kern w:val="0"/>
          <w:sz w:val="32"/>
          <w:szCs w:val="32"/>
          <w:lang w:val="en-US" w:eastAsia="zh-CN"/>
        </w:rPr>
        <w:t>工作及事业发展</w:t>
      </w:r>
      <w:r>
        <w:rPr>
          <w:rFonts w:hint="eastAsia" w:ascii="仿宋" w:hAnsi="仿宋" w:eastAsia="仿宋" w:cs="仿宋"/>
          <w:kern w:val="0"/>
          <w:sz w:val="32"/>
          <w:szCs w:val="32"/>
        </w:rPr>
        <w:t>。</w:t>
      </w:r>
    </w:p>
    <w:p w14:paraId="52AE6ECE">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四、关于2025年财政拨款收支总表的说明</w:t>
      </w:r>
    </w:p>
    <w:p w14:paraId="45C7E0C0">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万元。支出按功能分类分为：一般公共服务支出</w:t>
      </w:r>
      <w:r>
        <w:rPr>
          <w:rFonts w:hint="eastAsia" w:ascii="仿宋" w:hAnsi="仿宋" w:eastAsia="仿宋" w:cs="仿宋"/>
          <w:kern w:val="0"/>
          <w:sz w:val="32"/>
          <w:szCs w:val="32"/>
          <w:lang w:val="en-US" w:eastAsia="zh-CN"/>
        </w:rPr>
        <w:t>163.72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83.62</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17.66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9.02</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2.33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1.19</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12.06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6.17</w:t>
      </w:r>
      <w:r>
        <w:rPr>
          <w:rFonts w:hint="eastAsia" w:ascii="仿宋" w:hAnsi="仿宋" w:eastAsia="仿宋" w:cs="仿宋"/>
          <w:kern w:val="0"/>
          <w:sz w:val="32"/>
          <w:szCs w:val="32"/>
        </w:rPr>
        <w:t>%。</w:t>
      </w:r>
    </w:p>
    <w:p w14:paraId="38D570D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五、关于2025年一般公共预算支出表的说明</w:t>
      </w:r>
    </w:p>
    <w:p w14:paraId="30A9943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A2CD79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val="en-US" w:eastAsia="zh-CN"/>
        </w:rPr>
        <w:t>195.78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5.55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2.76</w:t>
      </w:r>
      <w:r>
        <w:rPr>
          <w:rFonts w:hint="eastAsia" w:ascii="仿宋" w:hAnsi="仿宋" w:eastAsia="仿宋" w:cs="仿宋"/>
          <w:kern w:val="0"/>
          <w:sz w:val="32"/>
          <w:szCs w:val="32"/>
        </w:rPr>
        <w:t>%，主要原因：一是</w:t>
      </w:r>
      <w:r>
        <w:rPr>
          <w:rFonts w:hint="eastAsia" w:ascii="仿宋" w:hAnsi="仿宋" w:eastAsia="仿宋" w:cs="仿宋"/>
          <w:kern w:val="0"/>
          <w:sz w:val="32"/>
          <w:szCs w:val="32"/>
          <w:lang w:val="en-US" w:eastAsia="zh-CN"/>
        </w:rPr>
        <w:t>人员工资变动基本支出减少</w:t>
      </w:r>
      <w:r>
        <w:rPr>
          <w:rFonts w:hint="eastAsia" w:ascii="仿宋" w:hAnsi="仿宋" w:eastAsia="仿宋" w:cs="仿宋"/>
          <w:kern w:val="0"/>
          <w:sz w:val="32"/>
          <w:szCs w:val="32"/>
        </w:rPr>
        <w:t>。</w:t>
      </w:r>
    </w:p>
    <w:p w14:paraId="56B38C1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A1C5256">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一般公共服务支出</w:t>
      </w:r>
      <w:r>
        <w:rPr>
          <w:rFonts w:hint="eastAsia" w:ascii="仿宋" w:hAnsi="仿宋" w:eastAsia="仿宋" w:cs="仿宋"/>
          <w:kern w:val="0"/>
          <w:sz w:val="32"/>
          <w:szCs w:val="32"/>
          <w:lang w:val="en-US" w:eastAsia="zh-CN"/>
        </w:rPr>
        <w:t>163.72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83.62</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17.66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9.02</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2.33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1.19</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12.06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6.17</w:t>
      </w:r>
      <w:r>
        <w:rPr>
          <w:rFonts w:hint="eastAsia" w:ascii="仿宋" w:hAnsi="仿宋" w:eastAsia="仿宋" w:cs="仿宋"/>
          <w:kern w:val="0"/>
          <w:sz w:val="32"/>
          <w:szCs w:val="32"/>
        </w:rPr>
        <w:t>%。</w:t>
      </w:r>
    </w:p>
    <w:p w14:paraId="6D517B6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0EF6F1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1、一般公共服务支出（类）市场监督管理事务（款）行政运行（项）2025年预算</w:t>
      </w:r>
      <w:r>
        <w:rPr>
          <w:rFonts w:hint="eastAsia" w:ascii="仿宋" w:hAnsi="仿宋" w:eastAsia="仿宋" w:cs="仿宋"/>
          <w:kern w:val="0"/>
          <w:sz w:val="32"/>
          <w:szCs w:val="32"/>
          <w:lang w:val="en-US" w:eastAsia="zh-CN"/>
        </w:rPr>
        <w:t>42.39</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3.83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8.29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人员工资变动基本支出减少</w:t>
      </w:r>
      <w:r>
        <w:rPr>
          <w:rFonts w:hint="eastAsia" w:ascii="仿宋" w:hAnsi="仿宋" w:eastAsia="仿宋" w:cs="仿宋"/>
          <w:kern w:val="0"/>
          <w:sz w:val="32"/>
          <w:szCs w:val="32"/>
        </w:rPr>
        <w:t>。</w:t>
      </w:r>
    </w:p>
    <w:p w14:paraId="4FAED249">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2、一般公共服务支出（类）市场监督管理事务（款）一般行政管理事务（项）2025年预算</w:t>
      </w:r>
      <w:r>
        <w:rPr>
          <w:rFonts w:hint="eastAsia" w:ascii="仿宋" w:hAnsi="仿宋" w:eastAsia="仿宋" w:cs="仿宋"/>
          <w:kern w:val="0"/>
          <w:sz w:val="32"/>
          <w:szCs w:val="32"/>
          <w:lang w:val="en-US" w:eastAsia="zh-CN"/>
        </w:rPr>
        <w:t>121.33</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2024年及2025年预算安排一致</w:t>
      </w:r>
      <w:r>
        <w:rPr>
          <w:rFonts w:hint="eastAsia" w:ascii="仿宋" w:hAnsi="仿宋" w:eastAsia="仿宋" w:cs="仿宋"/>
          <w:kern w:val="0"/>
          <w:sz w:val="32"/>
          <w:szCs w:val="32"/>
        </w:rPr>
        <w:t>。</w:t>
      </w:r>
    </w:p>
    <w:p w14:paraId="17E27A21">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3、社会保障和就业支出（类）行政事业单位养老支出（款）行政单位离退休（项）2025年预算</w:t>
      </w:r>
      <w:r>
        <w:rPr>
          <w:rFonts w:hint="eastAsia" w:ascii="仿宋" w:hAnsi="仿宋" w:eastAsia="仿宋" w:cs="仿宋"/>
          <w:kern w:val="0"/>
          <w:sz w:val="32"/>
          <w:szCs w:val="32"/>
          <w:lang w:val="en-US" w:eastAsia="zh-CN"/>
        </w:rPr>
        <w:t>9.6</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val="en-US" w:eastAsia="zh-CN"/>
        </w:rPr>
        <w:t>增加0.3</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3.23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人员基数调整</w:t>
      </w:r>
      <w:r>
        <w:rPr>
          <w:rFonts w:hint="eastAsia" w:ascii="仿宋" w:hAnsi="仿宋" w:eastAsia="仿宋" w:cs="仿宋"/>
          <w:kern w:val="0"/>
          <w:sz w:val="32"/>
          <w:szCs w:val="32"/>
        </w:rPr>
        <w:t>。</w:t>
      </w:r>
    </w:p>
    <w:p w14:paraId="1158591C">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社会保障和就业支出（类）行政事业单位养老支出（款）机关事业单位基本养老保险缴费支出（项）2025年预算</w:t>
      </w:r>
      <w:r>
        <w:rPr>
          <w:rFonts w:hint="eastAsia" w:ascii="仿宋" w:hAnsi="仿宋" w:eastAsia="仿宋" w:cs="仿宋"/>
          <w:kern w:val="0"/>
          <w:sz w:val="32"/>
          <w:szCs w:val="32"/>
          <w:lang w:val="en-US" w:eastAsia="zh-CN"/>
        </w:rPr>
        <w:t>5.35</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2.79</w:t>
      </w:r>
      <w:r>
        <w:rPr>
          <w:rFonts w:hint="eastAsia" w:ascii="仿宋" w:hAnsi="仿宋" w:eastAsia="仿宋" w:cs="仿宋"/>
          <w:kern w:val="0"/>
          <w:sz w:val="32"/>
          <w:szCs w:val="32"/>
        </w:rPr>
        <w:t>万元，下降</w:t>
      </w:r>
      <w:r>
        <w:rPr>
          <w:rFonts w:hint="eastAsia" w:ascii="仿宋" w:hAnsi="仿宋" w:eastAsia="仿宋" w:cs="仿宋"/>
          <w:color w:val="auto"/>
          <w:kern w:val="0"/>
          <w:sz w:val="32"/>
          <w:szCs w:val="32"/>
          <w:lang w:val="en-US" w:eastAsia="zh-CN"/>
        </w:rPr>
        <w:t>34.3%</w:t>
      </w:r>
      <w:r>
        <w:rPr>
          <w:rFonts w:hint="eastAsia" w:ascii="仿宋" w:hAnsi="仿宋" w:eastAsia="仿宋" w:cs="仿宋"/>
          <w:color w:val="auto"/>
          <w:kern w:val="0"/>
          <w:sz w:val="32"/>
          <w:szCs w:val="32"/>
        </w:rPr>
        <w:t>，</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人员工资变动缴费比例调整</w:t>
      </w:r>
      <w:r>
        <w:rPr>
          <w:rFonts w:hint="eastAsia" w:ascii="仿宋" w:hAnsi="仿宋" w:eastAsia="仿宋" w:cs="仿宋"/>
          <w:kern w:val="0"/>
          <w:sz w:val="32"/>
          <w:szCs w:val="32"/>
          <w:lang w:eastAsia="zh-CN"/>
        </w:rPr>
        <w:t>。</w:t>
      </w:r>
    </w:p>
    <w:p w14:paraId="1A78C194">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社会保障和就业支出（类）行政事业单位养老支出（款）机关事业单位职业年金缴费支出（项）2025年预算</w:t>
      </w:r>
      <w:r>
        <w:rPr>
          <w:rFonts w:hint="eastAsia" w:ascii="仿宋" w:hAnsi="仿宋" w:eastAsia="仿宋" w:cs="仿宋"/>
          <w:kern w:val="0"/>
          <w:sz w:val="32"/>
          <w:szCs w:val="32"/>
          <w:lang w:val="en-US" w:eastAsia="zh-CN"/>
        </w:rPr>
        <w:t>2.67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0.29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9.8</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人员工资变动缴费比例调整</w:t>
      </w:r>
      <w:r>
        <w:rPr>
          <w:rFonts w:hint="eastAsia" w:ascii="仿宋" w:hAnsi="仿宋" w:eastAsia="仿宋" w:cs="仿宋"/>
          <w:kern w:val="0"/>
          <w:sz w:val="32"/>
          <w:szCs w:val="32"/>
          <w:lang w:eastAsia="zh-CN"/>
        </w:rPr>
        <w:t>。</w:t>
      </w:r>
    </w:p>
    <w:p w14:paraId="655512C8">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社会保障和就业支出（类）其他社会保障和就业支出（款）其他社会保障和就业支出（项）2025年预算</w:t>
      </w:r>
      <w:r>
        <w:rPr>
          <w:rFonts w:hint="eastAsia" w:ascii="仿宋" w:hAnsi="仿宋" w:eastAsia="仿宋" w:cs="仿宋"/>
          <w:kern w:val="0"/>
          <w:sz w:val="32"/>
          <w:szCs w:val="32"/>
          <w:lang w:val="en-US" w:eastAsia="zh-CN"/>
        </w:rPr>
        <w:t>0.05</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2024年及2025年预算安排一致</w:t>
      </w:r>
      <w:r>
        <w:rPr>
          <w:rFonts w:hint="eastAsia" w:ascii="仿宋" w:hAnsi="仿宋" w:eastAsia="仿宋" w:cs="仿宋"/>
          <w:kern w:val="0"/>
          <w:sz w:val="32"/>
          <w:szCs w:val="32"/>
          <w:lang w:eastAsia="zh-CN"/>
        </w:rPr>
        <w:t>。</w:t>
      </w:r>
    </w:p>
    <w:p w14:paraId="6FC4A56C">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卫生健康支出（类）行政事业单位医疗（款）行政单位医疗（项）2025年预算</w:t>
      </w:r>
      <w:r>
        <w:rPr>
          <w:rFonts w:hint="eastAsia" w:ascii="仿宋" w:hAnsi="仿宋" w:eastAsia="仿宋" w:cs="仿宋"/>
          <w:kern w:val="0"/>
          <w:sz w:val="32"/>
          <w:szCs w:val="32"/>
          <w:lang w:val="en-US" w:eastAsia="zh-CN"/>
        </w:rPr>
        <w:t>1.64</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1.64</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164</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行政单位医疗为本年度新纳入预算项</w:t>
      </w:r>
      <w:r>
        <w:rPr>
          <w:rFonts w:hint="eastAsia" w:ascii="仿宋" w:hAnsi="仿宋" w:eastAsia="仿宋" w:cs="仿宋"/>
          <w:kern w:val="0"/>
          <w:sz w:val="32"/>
          <w:szCs w:val="32"/>
          <w:lang w:eastAsia="zh-CN"/>
        </w:rPr>
        <w:t>。</w:t>
      </w:r>
    </w:p>
    <w:p w14:paraId="3A573A63">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卫生健康支出（类）行政事业单位医疗（款）公务员医疗补助（项）2025年预算</w:t>
      </w:r>
      <w:r>
        <w:rPr>
          <w:rFonts w:hint="eastAsia" w:ascii="仿宋" w:hAnsi="仿宋" w:eastAsia="仿宋" w:cs="仿宋"/>
          <w:kern w:val="0"/>
          <w:sz w:val="32"/>
          <w:szCs w:val="32"/>
          <w:lang w:val="en-US" w:eastAsia="zh-CN"/>
        </w:rPr>
        <w:t>0.68</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val="en-US" w:eastAsia="zh-CN"/>
        </w:rPr>
        <w:t>减少0.11</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13.92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人员工资变动缴费比例调整</w:t>
      </w:r>
      <w:r>
        <w:rPr>
          <w:rFonts w:hint="eastAsia" w:ascii="仿宋" w:hAnsi="仿宋" w:eastAsia="仿宋" w:cs="仿宋"/>
          <w:kern w:val="0"/>
          <w:sz w:val="32"/>
          <w:szCs w:val="32"/>
          <w:lang w:eastAsia="zh-CN"/>
        </w:rPr>
        <w:t>。</w:t>
      </w:r>
    </w:p>
    <w:p w14:paraId="150E067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、住房保障支出（类）住房改革支出（款）住房公积金（项）2025年预算</w:t>
      </w:r>
      <w:r>
        <w:rPr>
          <w:rFonts w:hint="eastAsia" w:ascii="仿宋" w:hAnsi="仿宋" w:eastAsia="仿宋" w:cs="仿宋"/>
          <w:kern w:val="0"/>
          <w:sz w:val="32"/>
          <w:szCs w:val="32"/>
          <w:lang w:val="en-US" w:eastAsia="zh-CN"/>
        </w:rPr>
        <w:t>7.24</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0.28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3.72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人员工资变动缴费比例调整</w:t>
      </w:r>
      <w:r>
        <w:rPr>
          <w:rFonts w:hint="eastAsia" w:ascii="仿宋" w:hAnsi="仿宋" w:eastAsia="仿宋" w:cs="仿宋"/>
          <w:kern w:val="0"/>
          <w:sz w:val="32"/>
          <w:szCs w:val="32"/>
        </w:rPr>
        <w:t>。</w:t>
      </w:r>
    </w:p>
    <w:p w14:paraId="0952D326">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住房保障支出（类）住房改革支出（款）提租补贴（项）2025年预算</w:t>
      </w:r>
      <w:r>
        <w:rPr>
          <w:rFonts w:hint="eastAsia" w:ascii="仿宋" w:hAnsi="仿宋" w:eastAsia="仿宋" w:cs="仿宋"/>
          <w:kern w:val="0"/>
          <w:sz w:val="32"/>
          <w:szCs w:val="32"/>
          <w:lang w:val="en-US" w:eastAsia="zh-CN"/>
        </w:rPr>
        <w:t>1.81</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3.72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人员工资变动缴费比例调整</w:t>
      </w:r>
      <w:r>
        <w:rPr>
          <w:rFonts w:hint="eastAsia" w:ascii="仿宋" w:hAnsi="仿宋" w:eastAsia="仿宋" w:cs="仿宋"/>
          <w:kern w:val="0"/>
          <w:sz w:val="32"/>
          <w:szCs w:val="32"/>
          <w:lang w:eastAsia="zh-CN"/>
        </w:rPr>
        <w:t>。</w:t>
      </w:r>
    </w:p>
    <w:p w14:paraId="3A54EECD">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住房保障支出（类）住房改革支出（款）购房补贴（项）2025年预算</w:t>
      </w:r>
      <w:r>
        <w:rPr>
          <w:rFonts w:hint="eastAsia" w:ascii="仿宋" w:hAnsi="仿宋" w:eastAsia="仿宋" w:cs="仿宋"/>
          <w:kern w:val="0"/>
          <w:sz w:val="32"/>
          <w:szCs w:val="32"/>
          <w:lang w:val="en-US" w:eastAsia="zh-CN"/>
        </w:rPr>
        <w:t>3.02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0.11</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3.51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人员工资变动缴费比例调整</w:t>
      </w:r>
      <w:r>
        <w:rPr>
          <w:rFonts w:hint="eastAsia" w:ascii="仿宋" w:hAnsi="仿宋" w:eastAsia="仿宋" w:cs="仿宋"/>
          <w:kern w:val="0"/>
          <w:sz w:val="32"/>
          <w:szCs w:val="32"/>
          <w:lang w:eastAsia="zh-CN"/>
        </w:rPr>
        <w:t>。</w:t>
      </w:r>
    </w:p>
    <w:p w14:paraId="42E89676">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六、关于2025年一般公共预算基本支出表的说明</w:t>
      </w:r>
    </w:p>
    <w:p w14:paraId="7BD7C29B">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74.45</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66.07</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8.38</w:t>
      </w:r>
      <w:r>
        <w:rPr>
          <w:rFonts w:hint="eastAsia" w:ascii="仿宋" w:hAnsi="仿宋" w:eastAsia="仿宋" w:cs="仿宋"/>
          <w:kern w:val="0"/>
          <w:sz w:val="32"/>
          <w:szCs w:val="32"/>
        </w:rPr>
        <w:t>万元。</w:t>
      </w:r>
    </w:p>
    <w:p w14:paraId="374C741D">
      <w:pPr>
        <w:numPr>
          <w:ilvl w:val="0"/>
          <w:numId w:val="2"/>
        </w:num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人员经费</w:t>
      </w:r>
      <w:r>
        <w:rPr>
          <w:rFonts w:hint="eastAsia" w:ascii="仿宋" w:hAnsi="仿宋" w:eastAsia="仿宋" w:cs="仿宋"/>
          <w:b/>
          <w:kern w:val="0"/>
          <w:sz w:val="32"/>
          <w:szCs w:val="32"/>
          <w:lang w:val="en-US" w:eastAsia="zh-CN"/>
        </w:rPr>
        <w:t>66.07</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主要包括:基本工资、津贴补贴、奖金、机关事业单位基本养老保险费、职业年金缴费、职工基本医疗保险缴费、公务员医疗补助缴费、其他社会保障缴费、住房公积金、</w:t>
      </w:r>
      <w:r>
        <w:rPr>
          <w:rFonts w:hint="eastAsia" w:ascii="仿宋" w:hAnsi="仿宋" w:eastAsia="仿宋" w:cs="仿宋"/>
          <w:kern w:val="0"/>
          <w:sz w:val="32"/>
          <w:szCs w:val="32"/>
          <w:lang w:val="en-US" w:eastAsia="zh-CN"/>
        </w:rPr>
        <w:t>办公费、</w:t>
      </w:r>
      <w:r>
        <w:rPr>
          <w:rFonts w:hint="eastAsia" w:ascii="仿宋" w:hAnsi="仿宋" w:eastAsia="仿宋" w:cs="仿宋"/>
          <w:kern w:val="0"/>
          <w:sz w:val="32"/>
          <w:szCs w:val="32"/>
        </w:rPr>
        <w:t>工会经费、福利费、</w:t>
      </w:r>
      <w:r>
        <w:rPr>
          <w:rFonts w:hint="eastAsia" w:ascii="仿宋" w:hAnsi="仿宋" w:eastAsia="仿宋" w:cs="仿宋"/>
          <w:kern w:val="0"/>
          <w:sz w:val="32"/>
          <w:szCs w:val="32"/>
          <w:lang w:val="en-US" w:eastAsia="zh-CN"/>
        </w:rPr>
        <w:t>其他商品和服务支出</w:t>
      </w:r>
      <w:r>
        <w:rPr>
          <w:rFonts w:hint="eastAsia" w:ascii="仿宋" w:hAnsi="仿宋" w:eastAsia="仿宋" w:cs="仿宋"/>
          <w:kern w:val="0"/>
          <w:sz w:val="32"/>
          <w:szCs w:val="32"/>
        </w:rPr>
        <w:t>、退休费、医疗费补助、对其他个人和家庭的补助支出。</w:t>
      </w:r>
    </w:p>
    <w:p w14:paraId="64D2B1C2">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（二）公用经费</w:t>
      </w:r>
      <w:r>
        <w:rPr>
          <w:rFonts w:hint="eastAsia" w:ascii="仿宋" w:hAnsi="仿宋" w:eastAsia="仿宋" w:cs="仿宋"/>
          <w:b/>
          <w:kern w:val="0"/>
          <w:sz w:val="32"/>
          <w:szCs w:val="32"/>
          <w:lang w:val="en-US" w:eastAsia="zh-CN"/>
        </w:rPr>
        <w:t>8.38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主要包括：公务接待费、其他交通费用、其他商品服务支出。</w:t>
      </w:r>
    </w:p>
    <w:p w14:paraId="669A3CF0">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七、关于2025年政府性基金预算支出表的说明</w:t>
      </w:r>
    </w:p>
    <w:p w14:paraId="13143D4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2025年没有政府性基金预算拨款收入，也没有使用政府性基金预算拨款安排的支出。</w:t>
      </w:r>
    </w:p>
    <w:p w14:paraId="72512B85">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八、关于2025年国有资本经营预算支出表的说明</w:t>
      </w:r>
    </w:p>
    <w:p w14:paraId="17E45408">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2025年没有国有资本经营预算拨款收入，也没有使用国有资本经营预算拨款安排的支出。</w:t>
      </w:r>
    </w:p>
    <w:p w14:paraId="5D40A18D">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九、关于2025年项目支出表的说明</w:t>
      </w:r>
    </w:p>
    <w:p w14:paraId="0374D2F2">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121.33</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本单位2024年及2025年度预算安排一致</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121.33</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121.33</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r>
        <w:rPr>
          <w:rFonts w:hint="eastAsia" w:ascii="TimesNewRoman" w:hAnsi="TimesNewRoman" w:eastAsia="仿宋_GB2312" w:cs="TimesNewRoman"/>
          <w:kern w:val="0"/>
          <w:sz w:val="32"/>
          <w:szCs w:val="32"/>
        </w:rPr>
        <w:t>。</w:t>
      </w:r>
    </w:p>
    <w:p w14:paraId="0C257A31">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十、关于2025年政府采购支出表的说明</w:t>
      </w:r>
    </w:p>
    <w:p w14:paraId="075F7EF1">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2025年没有使用一般公共预算拨款、政府性基金预算拨款、国有资本经营预算拨款、财政专户管理资金和单位资金安排的政府采购支出。</w:t>
      </w:r>
    </w:p>
    <w:p w14:paraId="25F3B56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十一、关于2025年政府购买服务支出表的说明</w:t>
      </w:r>
    </w:p>
    <w:p w14:paraId="79F9F14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2025年没有安排政府购买服务支出。</w:t>
      </w:r>
    </w:p>
    <w:p w14:paraId="2FB3CF16">
      <w:pPr>
        <w:pStyle w:val="4"/>
        <w:numPr>
          <w:ilvl w:val="0"/>
          <w:numId w:val="3"/>
        </w:numPr>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关于202</w:t>
      </w:r>
      <w:r>
        <w:rPr>
          <w:rFonts w:hint="eastAsia" w:ascii="黑体" w:hAnsi="黑体" w:eastAsia="黑体" w:cs="黑体"/>
          <w:bCs/>
          <w:sz w:val="32"/>
          <w:szCs w:val="32"/>
          <w:lang w:val="en-US" w:eastAsia="zh-CN"/>
        </w:rPr>
        <w:t>5</w:t>
      </w:r>
      <w:r>
        <w:rPr>
          <w:rFonts w:hint="eastAsia" w:ascii="黑体" w:hAnsi="黑体" w:eastAsia="黑体" w:cs="黑体"/>
          <w:bCs/>
          <w:sz w:val="32"/>
          <w:szCs w:val="32"/>
        </w:rPr>
        <w:t>年通用资产配置支出表的说明</w:t>
      </w:r>
    </w:p>
    <w:p w14:paraId="0FB5FD79">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年没有安排</w:t>
      </w:r>
      <w:r>
        <w:rPr>
          <w:rFonts w:hint="eastAsia" w:ascii="仿宋" w:hAnsi="仿宋" w:eastAsia="仿宋" w:cs="仿宋"/>
          <w:kern w:val="0"/>
          <w:sz w:val="32"/>
          <w:szCs w:val="32"/>
          <w:lang w:val="en-US" w:eastAsia="zh-CN"/>
        </w:rPr>
        <w:t>通用资产配置</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w:t>
      </w:r>
    </w:p>
    <w:p w14:paraId="1C08F1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9816A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16C76F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1、“国家储备棉、监管棉公证检验经费(上级下拨资金)”项目。</w:t>
      </w:r>
    </w:p>
    <w:p w14:paraId="1C0C9C56">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（1）项目概述。</w:t>
      </w:r>
    </w:p>
    <w:p w14:paraId="68F837AB">
      <w:pPr>
        <w:ind w:firstLine="640" w:firstLineChars="200"/>
        <w:rPr>
          <w:rFonts w:hint="eastAsia" w:ascii="仿宋" w:hAnsi="仿宋" w:eastAsia="仿宋" w:cs="仿宋"/>
          <w:kern w:val="0"/>
          <w:sz w:val="32"/>
          <w:szCs w:val="32"/>
          <w:lang w:eastAsia="zh-CN"/>
        </w:rPr>
      </w:pPr>
      <w:r>
        <w:rPr>
          <w:rFonts w:hint="eastAsia" w:ascii="仿宋" w:hAnsi="仿宋" w:eastAsia="仿宋" w:cs="仿宋"/>
          <w:sz w:val="32"/>
          <w:szCs w:val="32"/>
        </w:rPr>
        <w:t>为完成国家储备棉、监管棉公证检验，从经费上保障棉花公证检验工作，我单位根据中国纤维质量监测中心计划，参加国家储备棉、监管棉公证检验工作</w:t>
      </w:r>
      <w:r>
        <w:rPr>
          <w:rFonts w:hint="eastAsia" w:ascii="仿宋" w:hAnsi="仿宋" w:eastAsia="仿宋" w:cs="仿宋"/>
          <w:sz w:val="32"/>
          <w:szCs w:val="32"/>
          <w:lang w:eastAsia="zh-CN"/>
        </w:rPr>
        <w:t>。</w:t>
      </w:r>
    </w:p>
    <w:p w14:paraId="316308C8">
      <w:pPr>
        <w:numPr>
          <w:ilvl w:val="0"/>
          <w:numId w:val="4"/>
        </w:num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立项依据。</w:t>
      </w:r>
    </w:p>
    <w:p w14:paraId="32CA8328">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产品质量法》、《棉花</w:t>
      </w:r>
      <w:r>
        <w:rPr>
          <w:rFonts w:hint="eastAsia" w:ascii="仿宋" w:hAnsi="仿宋" w:eastAsia="仿宋" w:cs="仿宋"/>
          <w:sz w:val="32"/>
          <w:szCs w:val="32"/>
          <w:lang w:val="en-US" w:eastAsia="zh-CN"/>
        </w:rPr>
        <w:t>质量</w:t>
      </w:r>
      <w:r>
        <w:rPr>
          <w:rFonts w:hint="eastAsia" w:ascii="仿宋" w:hAnsi="仿宋" w:eastAsia="仿宋" w:cs="仿宋"/>
          <w:sz w:val="32"/>
          <w:szCs w:val="32"/>
        </w:rPr>
        <w:t>监督管理条例》</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国家棉花等纤维</w:t>
      </w:r>
      <w:r>
        <w:rPr>
          <w:rFonts w:hint="eastAsia" w:ascii="仿宋" w:hAnsi="仿宋" w:eastAsia="仿宋" w:cs="仿宋"/>
          <w:sz w:val="32"/>
          <w:szCs w:val="32"/>
        </w:rPr>
        <w:t>公证检验经费管理</w:t>
      </w:r>
      <w:r>
        <w:rPr>
          <w:rFonts w:hint="eastAsia" w:ascii="仿宋" w:hAnsi="仿宋" w:eastAsia="仿宋" w:cs="仿宋"/>
          <w:sz w:val="32"/>
          <w:szCs w:val="32"/>
          <w:lang w:val="en-US" w:eastAsia="zh-CN"/>
        </w:rPr>
        <w:t>暂行</w:t>
      </w:r>
      <w:r>
        <w:rPr>
          <w:rFonts w:hint="eastAsia" w:ascii="仿宋" w:hAnsi="仿宋" w:eastAsia="仿宋" w:cs="仿宋"/>
          <w:sz w:val="32"/>
          <w:szCs w:val="32"/>
        </w:rPr>
        <w:t>办法》</w:t>
      </w:r>
      <w:r>
        <w:rPr>
          <w:rFonts w:hint="eastAsia" w:ascii="仿宋" w:hAnsi="仿宋" w:eastAsia="仿宋" w:cs="仿宋"/>
          <w:sz w:val="32"/>
          <w:szCs w:val="32"/>
          <w:lang w:eastAsia="zh-CN"/>
        </w:rPr>
        <w:t>。</w:t>
      </w:r>
    </w:p>
    <w:p w14:paraId="1241287B">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（3）实施主体。淮北市纤维检验所</w:t>
      </w:r>
    </w:p>
    <w:p w14:paraId="60F102D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sz w:val="32"/>
          <w:szCs w:val="32"/>
          <w:lang w:val="en-US" w:eastAsia="zh-CN"/>
        </w:rPr>
        <w:t>2025年1月至12月</w:t>
      </w:r>
    </w:p>
    <w:p w14:paraId="595183C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（5）项目内容。</w:t>
      </w:r>
    </w:p>
    <w:p w14:paraId="2378B009">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办公费3.6万元，水电费11.4万元，物业管理费6.25万元，差旅费33.37万元，培训费2.52万元，邮电费3.55万元，委托业务费2.44万元，劳务费8.67万元，维修（护）费0.50万元，专用材料费10万元，工会经费1.4万元，其他商品服务费4.56万元。</w:t>
      </w:r>
    </w:p>
    <w:p w14:paraId="04CF23C5">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2025年预算安排88.26万元</w:t>
      </w:r>
      <w:r>
        <w:rPr>
          <w:rFonts w:hint="eastAsia" w:ascii="仿宋" w:hAnsi="仿宋" w:eastAsia="仿宋" w:cs="仿宋"/>
          <w:kern w:val="0"/>
          <w:sz w:val="32"/>
          <w:szCs w:val="32"/>
          <w:lang w:eastAsia="zh-CN"/>
        </w:rPr>
        <w:t>。</w:t>
      </w:r>
    </w:p>
    <w:p w14:paraId="2BA3B248">
      <w:pPr>
        <w:numPr>
          <w:ilvl w:val="0"/>
          <w:numId w:val="5"/>
        </w:num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绩效目标。</w:t>
      </w:r>
    </w:p>
    <w:p w14:paraId="1B08CFEB">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仿宋" w:hAnsi="仿宋" w:eastAsia="仿宋" w:cs="仿宋"/>
          <w:kern w:val="0"/>
          <w:sz w:val="32"/>
          <w:szCs w:val="32"/>
        </w:rPr>
        <w:t>及时完成棉花公证检验、纤维及纤维制品监督抽查、委托检验</w:t>
      </w:r>
      <w:r>
        <w:rPr>
          <w:rFonts w:hint="eastAsia" w:ascii="仿宋" w:hAnsi="仿宋" w:eastAsia="仿宋" w:cs="仿宋"/>
          <w:kern w:val="0"/>
          <w:sz w:val="32"/>
          <w:szCs w:val="32"/>
          <w:lang w:eastAsia="zh-CN"/>
        </w:rPr>
        <w:t>。</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77"/>
        <w:gridCol w:w="478"/>
        <w:gridCol w:w="608"/>
        <w:gridCol w:w="717"/>
        <w:gridCol w:w="2888"/>
        <w:gridCol w:w="2002"/>
        <w:gridCol w:w="2571"/>
      </w:tblGrid>
      <w:tr w14:paraId="4F94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1" w:hRule="atLeast"/>
        </w:trPr>
        <w:tc>
          <w:tcPr>
            <w:tcW w:w="9741" w:type="dxa"/>
            <w:gridSpan w:val="7"/>
            <w:tcBorders>
              <w:tl2br w:val="nil"/>
              <w:tr2bl w:val="nil"/>
            </w:tcBorders>
            <w:shd w:val="clear" w:color="auto" w:fill="auto"/>
            <w:vAlign w:val="center"/>
          </w:tcPr>
          <w:p w14:paraId="38918D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5B1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9741" w:type="dxa"/>
            <w:gridSpan w:val="7"/>
            <w:tcBorders>
              <w:tl2br w:val="nil"/>
              <w:tr2bl w:val="nil"/>
            </w:tcBorders>
            <w:shd w:val="clear" w:color="auto" w:fill="auto"/>
            <w:vAlign w:val="center"/>
          </w:tcPr>
          <w:p w14:paraId="0135E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2DF5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tcBorders>
              <w:tl2br w:val="nil"/>
              <w:tr2bl w:val="nil"/>
            </w:tcBorders>
            <w:shd w:val="clear" w:color="auto" w:fill="auto"/>
            <w:vAlign w:val="center"/>
          </w:tcPr>
          <w:p w14:paraId="5A9B1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78" w:type="dxa"/>
            <w:gridSpan w:val="4"/>
            <w:tcBorders>
              <w:tl2br w:val="nil"/>
              <w:tr2bl w:val="nil"/>
            </w:tcBorders>
            <w:shd w:val="clear" w:color="auto" w:fill="auto"/>
            <w:vAlign w:val="center"/>
          </w:tcPr>
          <w:p w14:paraId="0A6B4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国家储备棉、监管棉公证检验经费(上级下拨资金)</w:t>
            </w:r>
          </w:p>
        </w:tc>
      </w:tr>
      <w:tr w14:paraId="2469A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tcBorders>
              <w:tl2br w:val="nil"/>
              <w:tr2bl w:val="nil"/>
            </w:tcBorders>
            <w:shd w:val="clear" w:color="auto" w:fill="auto"/>
            <w:vAlign w:val="center"/>
          </w:tcPr>
          <w:p w14:paraId="1944F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05" w:type="dxa"/>
            <w:gridSpan w:val="2"/>
            <w:tcBorders>
              <w:tl2br w:val="nil"/>
              <w:tr2bl w:val="nil"/>
            </w:tcBorders>
            <w:shd w:val="clear" w:color="auto" w:fill="auto"/>
            <w:vAlign w:val="center"/>
          </w:tcPr>
          <w:p w14:paraId="7F29C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2002" w:type="dxa"/>
            <w:tcBorders>
              <w:tl2br w:val="nil"/>
              <w:tr2bl w:val="nil"/>
            </w:tcBorders>
            <w:shd w:val="clear" w:color="auto" w:fill="auto"/>
            <w:vAlign w:val="center"/>
          </w:tcPr>
          <w:p w14:paraId="43E287C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571" w:type="dxa"/>
            <w:tcBorders>
              <w:tl2br w:val="nil"/>
              <w:tr2bl w:val="nil"/>
            </w:tcBorders>
            <w:shd w:val="clear" w:color="auto" w:fill="auto"/>
            <w:vAlign w:val="center"/>
          </w:tcPr>
          <w:p w14:paraId="6CA4111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淮北市纤维检验所</w:t>
            </w:r>
          </w:p>
        </w:tc>
      </w:tr>
      <w:tr w14:paraId="3308A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tcBorders>
              <w:tl2br w:val="nil"/>
              <w:tr2bl w:val="nil"/>
            </w:tcBorders>
            <w:shd w:val="clear" w:color="auto" w:fill="auto"/>
            <w:vAlign w:val="center"/>
          </w:tcPr>
          <w:p w14:paraId="722D8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05" w:type="dxa"/>
            <w:gridSpan w:val="2"/>
            <w:tcBorders>
              <w:tl2br w:val="nil"/>
              <w:tr2bl w:val="nil"/>
            </w:tcBorders>
            <w:shd w:val="clear" w:color="auto" w:fill="auto"/>
            <w:vAlign w:val="center"/>
          </w:tcPr>
          <w:p w14:paraId="24583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002" w:type="dxa"/>
            <w:tcBorders>
              <w:tl2br w:val="nil"/>
              <w:tr2bl w:val="nil"/>
            </w:tcBorders>
            <w:shd w:val="clear" w:color="auto" w:fill="auto"/>
            <w:vAlign w:val="center"/>
          </w:tcPr>
          <w:p w14:paraId="1B914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571" w:type="dxa"/>
            <w:tcBorders>
              <w:tl2br w:val="nil"/>
              <w:tr2bl w:val="nil"/>
            </w:tcBorders>
            <w:shd w:val="clear" w:color="auto" w:fill="auto"/>
            <w:vAlign w:val="center"/>
          </w:tcPr>
          <w:p w14:paraId="5370D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2BD5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vMerge w:val="restart"/>
            <w:tcBorders>
              <w:tl2br w:val="nil"/>
              <w:tr2bl w:val="nil"/>
            </w:tcBorders>
            <w:shd w:val="clear" w:color="auto" w:fill="auto"/>
            <w:vAlign w:val="center"/>
          </w:tcPr>
          <w:p w14:paraId="2FD6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05" w:type="dxa"/>
            <w:gridSpan w:val="2"/>
            <w:tcBorders>
              <w:tl2br w:val="nil"/>
              <w:tr2bl w:val="nil"/>
            </w:tcBorders>
            <w:shd w:val="clear" w:color="auto" w:fill="auto"/>
            <w:vAlign w:val="center"/>
          </w:tcPr>
          <w:p w14:paraId="2A00F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573" w:type="dxa"/>
            <w:gridSpan w:val="2"/>
            <w:tcBorders>
              <w:tl2br w:val="nil"/>
              <w:tr2bl w:val="nil"/>
            </w:tcBorders>
            <w:shd w:val="clear" w:color="auto" w:fill="auto"/>
            <w:vAlign w:val="center"/>
          </w:tcPr>
          <w:p w14:paraId="4EAAF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88.26 </w:t>
            </w:r>
          </w:p>
        </w:tc>
      </w:tr>
      <w:tr w14:paraId="3F2E3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vMerge w:val="continue"/>
            <w:tcBorders>
              <w:tl2br w:val="nil"/>
              <w:tr2bl w:val="nil"/>
            </w:tcBorders>
            <w:shd w:val="clear" w:color="auto" w:fill="auto"/>
            <w:vAlign w:val="center"/>
          </w:tcPr>
          <w:p w14:paraId="5BE9A095">
            <w:pPr>
              <w:jc w:val="center"/>
              <w:rPr>
                <w:rFonts w:hint="eastAsia" w:ascii="宋体" w:hAnsi="宋体" w:eastAsia="宋体" w:cs="宋体"/>
                <w:i w:val="0"/>
                <w:iCs w:val="0"/>
                <w:color w:val="000000"/>
                <w:sz w:val="20"/>
                <w:szCs w:val="20"/>
                <w:u w:val="none"/>
              </w:rPr>
            </w:pPr>
          </w:p>
        </w:tc>
        <w:tc>
          <w:tcPr>
            <w:tcW w:w="3605" w:type="dxa"/>
            <w:gridSpan w:val="2"/>
            <w:tcBorders>
              <w:tl2br w:val="nil"/>
              <w:tr2bl w:val="nil"/>
            </w:tcBorders>
            <w:shd w:val="clear" w:color="auto" w:fill="auto"/>
            <w:vAlign w:val="center"/>
          </w:tcPr>
          <w:p w14:paraId="3F29E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573" w:type="dxa"/>
            <w:gridSpan w:val="2"/>
            <w:tcBorders>
              <w:tl2br w:val="nil"/>
              <w:tr2bl w:val="nil"/>
            </w:tcBorders>
            <w:shd w:val="clear" w:color="auto" w:fill="auto"/>
            <w:vAlign w:val="center"/>
          </w:tcPr>
          <w:p w14:paraId="259729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88.26 </w:t>
            </w:r>
          </w:p>
        </w:tc>
      </w:tr>
      <w:tr w14:paraId="4E35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vMerge w:val="continue"/>
            <w:tcBorders>
              <w:tl2br w:val="nil"/>
              <w:tr2bl w:val="nil"/>
            </w:tcBorders>
            <w:shd w:val="clear" w:color="auto" w:fill="auto"/>
            <w:vAlign w:val="center"/>
          </w:tcPr>
          <w:p w14:paraId="7EEEEBEE">
            <w:pPr>
              <w:jc w:val="center"/>
              <w:rPr>
                <w:rFonts w:hint="eastAsia" w:ascii="宋体" w:hAnsi="宋体" w:eastAsia="宋体" w:cs="宋体"/>
                <w:i w:val="0"/>
                <w:iCs w:val="0"/>
                <w:color w:val="000000"/>
                <w:sz w:val="20"/>
                <w:szCs w:val="20"/>
                <w:u w:val="none"/>
              </w:rPr>
            </w:pPr>
          </w:p>
        </w:tc>
        <w:tc>
          <w:tcPr>
            <w:tcW w:w="3605" w:type="dxa"/>
            <w:gridSpan w:val="2"/>
            <w:tcBorders>
              <w:tl2br w:val="nil"/>
              <w:tr2bl w:val="nil"/>
            </w:tcBorders>
            <w:shd w:val="clear" w:color="auto" w:fill="auto"/>
            <w:vAlign w:val="center"/>
          </w:tcPr>
          <w:p w14:paraId="4F062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573" w:type="dxa"/>
            <w:gridSpan w:val="2"/>
            <w:tcBorders>
              <w:tl2br w:val="nil"/>
              <w:tr2bl w:val="nil"/>
            </w:tcBorders>
            <w:shd w:val="clear" w:color="auto" w:fill="auto"/>
            <w:vAlign w:val="center"/>
          </w:tcPr>
          <w:p w14:paraId="66074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6AA71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63" w:type="dxa"/>
            <w:gridSpan w:val="3"/>
            <w:vMerge w:val="continue"/>
            <w:tcBorders>
              <w:tl2br w:val="nil"/>
              <w:tr2bl w:val="nil"/>
            </w:tcBorders>
            <w:shd w:val="clear" w:color="auto" w:fill="auto"/>
            <w:vAlign w:val="center"/>
          </w:tcPr>
          <w:p w14:paraId="2F5A5A19">
            <w:pPr>
              <w:jc w:val="center"/>
              <w:rPr>
                <w:rFonts w:hint="eastAsia" w:ascii="宋体" w:hAnsi="宋体" w:eastAsia="宋体" w:cs="宋体"/>
                <w:i w:val="0"/>
                <w:iCs w:val="0"/>
                <w:color w:val="000000"/>
                <w:sz w:val="20"/>
                <w:szCs w:val="20"/>
                <w:u w:val="none"/>
              </w:rPr>
            </w:pPr>
          </w:p>
        </w:tc>
        <w:tc>
          <w:tcPr>
            <w:tcW w:w="3605" w:type="dxa"/>
            <w:gridSpan w:val="2"/>
            <w:tcBorders>
              <w:tl2br w:val="nil"/>
              <w:tr2bl w:val="nil"/>
            </w:tcBorders>
            <w:shd w:val="clear" w:color="auto" w:fill="auto"/>
            <w:vAlign w:val="center"/>
          </w:tcPr>
          <w:p w14:paraId="717D2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73" w:type="dxa"/>
            <w:gridSpan w:val="2"/>
            <w:tcBorders>
              <w:tl2br w:val="nil"/>
              <w:tr2bl w:val="nil"/>
            </w:tcBorders>
            <w:shd w:val="clear" w:color="auto" w:fill="auto"/>
            <w:vAlign w:val="center"/>
          </w:tcPr>
          <w:p w14:paraId="007D7F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38D34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477" w:type="dxa"/>
            <w:tcBorders>
              <w:tl2br w:val="nil"/>
              <w:tr2bl w:val="nil"/>
            </w:tcBorders>
            <w:shd w:val="clear" w:color="auto" w:fill="auto"/>
            <w:vAlign w:val="center"/>
          </w:tcPr>
          <w:p w14:paraId="3CE4F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264" w:type="dxa"/>
            <w:gridSpan w:val="6"/>
            <w:tcBorders>
              <w:tl2br w:val="nil"/>
              <w:tr2bl w:val="nil"/>
            </w:tcBorders>
            <w:shd w:val="clear" w:color="auto" w:fill="auto"/>
            <w:vAlign w:val="center"/>
          </w:tcPr>
          <w:p w14:paraId="5107F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及时完成棉花公证检验、纤维及纤维制品监督抽查、委托检验。</w:t>
            </w:r>
          </w:p>
        </w:tc>
      </w:tr>
      <w:tr w14:paraId="3C239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477" w:type="dxa"/>
            <w:vMerge w:val="restart"/>
            <w:tcBorders>
              <w:tl2br w:val="nil"/>
              <w:tr2bl w:val="nil"/>
            </w:tcBorders>
            <w:shd w:val="clear" w:color="auto" w:fill="auto"/>
            <w:vAlign w:val="center"/>
          </w:tcPr>
          <w:p w14:paraId="314D8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78" w:type="dxa"/>
            <w:tcBorders>
              <w:tl2br w:val="nil"/>
              <w:tr2bl w:val="nil"/>
            </w:tcBorders>
            <w:shd w:val="clear" w:color="auto" w:fill="auto"/>
            <w:vAlign w:val="center"/>
          </w:tcPr>
          <w:p w14:paraId="1BE3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25" w:type="dxa"/>
            <w:gridSpan w:val="2"/>
            <w:tcBorders>
              <w:tl2br w:val="nil"/>
              <w:tr2bl w:val="nil"/>
            </w:tcBorders>
            <w:shd w:val="clear" w:color="auto" w:fill="auto"/>
            <w:vAlign w:val="center"/>
          </w:tcPr>
          <w:p w14:paraId="66D2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88" w:type="dxa"/>
            <w:tcBorders>
              <w:tl2br w:val="nil"/>
              <w:tr2bl w:val="nil"/>
            </w:tcBorders>
            <w:shd w:val="clear" w:color="auto" w:fill="auto"/>
            <w:vAlign w:val="center"/>
          </w:tcPr>
          <w:p w14:paraId="6102A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573" w:type="dxa"/>
            <w:gridSpan w:val="2"/>
            <w:tcBorders>
              <w:tl2br w:val="nil"/>
              <w:tr2bl w:val="nil"/>
            </w:tcBorders>
            <w:shd w:val="clear" w:color="auto" w:fill="auto"/>
            <w:vAlign w:val="center"/>
          </w:tcPr>
          <w:p w14:paraId="2FC6C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BB1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477" w:type="dxa"/>
            <w:vMerge w:val="continue"/>
            <w:tcBorders>
              <w:tl2br w:val="nil"/>
              <w:tr2bl w:val="nil"/>
            </w:tcBorders>
            <w:shd w:val="clear" w:color="auto" w:fill="auto"/>
            <w:vAlign w:val="center"/>
          </w:tcPr>
          <w:p w14:paraId="5B5B7875">
            <w:pPr>
              <w:jc w:val="center"/>
              <w:rPr>
                <w:rFonts w:hint="eastAsia" w:ascii="宋体" w:hAnsi="宋体" w:eastAsia="宋体" w:cs="宋体"/>
                <w:i w:val="0"/>
                <w:iCs w:val="0"/>
                <w:color w:val="000000"/>
                <w:sz w:val="20"/>
                <w:szCs w:val="20"/>
                <w:u w:val="none"/>
              </w:rPr>
            </w:pPr>
          </w:p>
        </w:tc>
        <w:tc>
          <w:tcPr>
            <w:tcW w:w="478" w:type="dxa"/>
            <w:vMerge w:val="restart"/>
            <w:tcBorders>
              <w:tl2br w:val="nil"/>
              <w:tr2bl w:val="nil"/>
            </w:tcBorders>
            <w:shd w:val="clear" w:color="auto" w:fill="auto"/>
            <w:vAlign w:val="center"/>
          </w:tcPr>
          <w:p w14:paraId="58F5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25" w:type="dxa"/>
            <w:gridSpan w:val="2"/>
            <w:tcBorders>
              <w:tl2br w:val="nil"/>
              <w:tr2bl w:val="nil"/>
            </w:tcBorders>
            <w:shd w:val="clear" w:color="auto" w:fill="auto"/>
            <w:vAlign w:val="center"/>
          </w:tcPr>
          <w:p w14:paraId="1932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88" w:type="dxa"/>
            <w:tcBorders>
              <w:tl2br w:val="nil"/>
              <w:tr2bl w:val="nil"/>
            </w:tcBorders>
            <w:shd w:val="clear" w:color="auto" w:fill="auto"/>
            <w:vAlign w:val="center"/>
          </w:tcPr>
          <w:p w14:paraId="6EDC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监督抽查和委托检验组数</w:t>
            </w:r>
          </w:p>
        </w:tc>
        <w:tc>
          <w:tcPr>
            <w:tcW w:w="4573" w:type="dxa"/>
            <w:gridSpan w:val="2"/>
            <w:tcBorders>
              <w:tl2br w:val="nil"/>
              <w:tr2bl w:val="nil"/>
            </w:tcBorders>
            <w:shd w:val="clear" w:color="auto" w:fill="auto"/>
            <w:vAlign w:val="center"/>
          </w:tcPr>
          <w:p w14:paraId="60C06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≥70组</w:t>
            </w:r>
          </w:p>
        </w:tc>
      </w:tr>
      <w:tr w14:paraId="3412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477" w:type="dxa"/>
            <w:vMerge w:val="continue"/>
            <w:tcBorders>
              <w:tl2br w:val="nil"/>
              <w:tr2bl w:val="nil"/>
            </w:tcBorders>
            <w:shd w:val="clear" w:color="auto" w:fill="auto"/>
            <w:vAlign w:val="center"/>
          </w:tcPr>
          <w:p w14:paraId="74FF62E8">
            <w:pPr>
              <w:jc w:val="center"/>
              <w:rPr>
                <w:rFonts w:hint="eastAsia" w:ascii="宋体" w:hAnsi="宋体" w:eastAsia="宋体" w:cs="宋体"/>
                <w:i w:val="0"/>
                <w:iCs w:val="0"/>
                <w:color w:val="000000"/>
                <w:sz w:val="20"/>
                <w:szCs w:val="20"/>
                <w:u w:val="none"/>
              </w:rPr>
            </w:pPr>
          </w:p>
        </w:tc>
        <w:tc>
          <w:tcPr>
            <w:tcW w:w="478" w:type="dxa"/>
            <w:vMerge w:val="continue"/>
            <w:tcBorders>
              <w:tl2br w:val="nil"/>
              <w:tr2bl w:val="nil"/>
            </w:tcBorders>
            <w:shd w:val="clear" w:color="auto" w:fill="auto"/>
            <w:vAlign w:val="center"/>
          </w:tcPr>
          <w:p w14:paraId="06DA3BE4">
            <w:pPr>
              <w:jc w:val="center"/>
              <w:rPr>
                <w:rFonts w:hint="eastAsia" w:ascii="宋体" w:hAnsi="宋体" w:eastAsia="宋体" w:cs="宋体"/>
                <w:i w:val="0"/>
                <w:iCs w:val="0"/>
                <w:color w:val="000000"/>
                <w:sz w:val="20"/>
                <w:szCs w:val="20"/>
                <w:u w:val="none"/>
              </w:rPr>
            </w:pPr>
          </w:p>
        </w:tc>
        <w:tc>
          <w:tcPr>
            <w:tcW w:w="1325" w:type="dxa"/>
            <w:gridSpan w:val="2"/>
            <w:tcBorders>
              <w:tl2br w:val="nil"/>
              <w:tr2bl w:val="nil"/>
            </w:tcBorders>
            <w:shd w:val="clear" w:color="auto" w:fill="auto"/>
            <w:vAlign w:val="center"/>
          </w:tcPr>
          <w:p w14:paraId="59E60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88" w:type="dxa"/>
            <w:tcBorders>
              <w:tl2br w:val="nil"/>
              <w:tr2bl w:val="nil"/>
            </w:tcBorders>
            <w:shd w:val="clear" w:color="auto" w:fill="auto"/>
            <w:vAlign w:val="center"/>
          </w:tcPr>
          <w:p w14:paraId="77F2F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检验报告数据或结论差错率</w:t>
            </w:r>
          </w:p>
        </w:tc>
        <w:tc>
          <w:tcPr>
            <w:tcW w:w="4573" w:type="dxa"/>
            <w:gridSpan w:val="2"/>
            <w:tcBorders>
              <w:tl2br w:val="nil"/>
              <w:tr2bl w:val="nil"/>
            </w:tcBorders>
            <w:shd w:val="clear" w:color="auto" w:fill="auto"/>
            <w:vAlign w:val="center"/>
          </w:tcPr>
          <w:p w14:paraId="6DB3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216B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477" w:type="dxa"/>
            <w:vMerge w:val="continue"/>
            <w:tcBorders>
              <w:tl2br w:val="nil"/>
              <w:tr2bl w:val="nil"/>
            </w:tcBorders>
            <w:shd w:val="clear" w:color="auto" w:fill="auto"/>
            <w:vAlign w:val="center"/>
          </w:tcPr>
          <w:p w14:paraId="14420616">
            <w:pPr>
              <w:jc w:val="center"/>
              <w:rPr>
                <w:rFonts w:hint="eastAsia" w:ascii="宋体" w:hAnsi="宋体" w:eastAsia="宋体" w:cs="宋体"/>
                <w:i w:val="0"/>
                <w:iCs w:val="0"/>
                <w:color w:val="000000"/>
                <w:sz w:val="20"/>
                <w:szCs w:val="20"/>
                <w:u w:val="none"/>
              </w:rPr>
            </w:pPr>
          </w:p>
        </w:tc>
        <w:tc>
          <w:tcPr>
            <w:tcW w:w="478" w:type="dxa"/>
            <w:vMerge w:val="continue"/>
            <w:tcBorders>
              <w:tl2br w:val="nil"/>
              <w:tr2bl w:val="nil"/>
            </w:tcBorders>
            <w:shd w:val="clear" w:color="auto" w:fill="auto"/>
            <w:vAlign w:val="center"/>
          </w:tcPr>
          <w:p w14:paraId="51DA963E">
            <w:pPr>
              <w:jc w:val="center"/>
              <w:rPr>
                <w:rFonts w:hint="eastAsia" w:ascii="宋体" w:hAnsi="宋体" w:eastAsia="宋体" w:cs="宋体"/>
                <w:i w:val="0"/>
                <w:iCs w:val="0"/>
                <w:color w:val="000000"/>
                <w:sz w:val="20"/>
                <w:szCs w:val="20"/>
                <w:u w:val="none"/>
              </w:rPr>
            </w:pPr>
          </w:p>
        </w:tc>
        <w:tc>
          <w:tcPr>
            <w:tcW w:w="1325" w:type="dxa"/>
            <w:gridSpan w:val="2"/>
            <w:tcBorders>
              <w:tl2br w:val="nil"/>
              <w:tr2bl w:val="nil"/>
            </w:tcBorders>
            <w:shd w:val="clear" w:color="auto" w:fill="auto"/>
            <w:vAlign w:val="center"/>
          </w:tcPr>
          <w:p w14:paraId="425F8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88" w:type="dxa"/>
            <w:tcBorders>
              <w:tl2br w:val="nil"/>
              <w:tr2bl w:val="nil"/>
            </w:tcBorders>
            <w:shd w:val="clear" w:color="auto" w:fill="auto"/>
            <w:vAlign w:val="center"/>
          </w:tcPr>
          <w:p w14:paraId="0B46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出具检验报告时间</w:t>
            </w:r>
          </w:p>
        </w:tc>
        <w:tc>
          <w:tcPr>
            <w:tcW w:w="4573" w:type="dxa"/>
            <w:gridSpan w:val="2"/>
            <w:tcBorders>
              <w:tl2br w:val="nil"/>
              <w:tr2bl w:val="nil"/>
            </w:tcBorders>
            <w:shd w:val="clear" w:color="auto" w:fill="auto"/>
            <w:vAlign w:val="center"/>
          </w:tcPr>
          <w:p w14:paraId="56B2C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≤7工作日</w:t>
            </w:r>
          </w:p>
        </w:tc>
      </w:tr>
      <w:tr w14:paraId="02EE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477" w:type="dxa"/>
            <w:vMerge w:val="continue"/>
            <w:tcBorders>
              <w:tl2br w:val="nil"/>
              <w:tr2bl w:val="nil"/>
            </w:tcBorders>
            <w:shd w:val="clear" w:color="auto" w:fill="auto"/>
            <w:vAlign w:val="center"/>
          </w:tcPr>
          <w:p w14:paraId="064F05CB">
            <w:pPr>
              <w:jc w:val="center"/>
              <w:rPr>
                <w:rFonts w:hint="eastAsia" w:ascii="宋体" w:hAnsi="宋体" w:eastAsia="宋体" w:cs="宋体"/>
                <w:i w:val="0"/>
                <w:iCs w:val="0"/>
                <w:color w:val="000000"/>
                <w:sz w:val="20"/>
                <w:szCs w:val="20"/>
                <w:u w:val="none"/>
              </w:rPr>
            </w:pPr>
          </w:p>
        </w:tc>
        <w:tc>
          <w:tcPr>
            <w:tcW w:w="478" w:type="dxa"/>
            <w:vMerge w:val="continue"/>
            <w:tcBorders>
              <w:tl2br w:val="nil"/>
              <w:tr2bl w:val="nil"/>
            </w:tcBorders>
            <w:shd w:val="clear" w:color="auto" w:fill="auto"/>
            <w:vAlign w:val="center"/>
          </w:tcPr>
          <w:p w14:paraId="70932E1F">
            <w:pPr>
              <w:jc w:val="center"/>
              <w:rPr>
                <w:rFonts w:hint="eastAsia" w:ascii="宋体" w:hAnsi="宋体" w:eastAsia="宋体" w:cs="宋体"/>
                <w:i w:val="0"/>
                <w:iCs w:val="0"/>
                <w:color w:val="000000"/>
                <w:sz w:val="20"/>
                <w:szCs w:val="20"/>
                <w:u w:val="none"/>
              </w:rPr>
            </w:pPr>
          </w:p>
        </w:tc>
        <w:tc>
          <w:tcPr>
            <w:tcW w:w="1325" w:type="dxa"/>
            <w:gridSpan w:val="2"/>
            <w:tcBorders>
              <w:tl2br w:val="nil"/>
              <w:tr2bl w:val="nil"/>
            </w:tcBorders>
            <w:shd w:val="clear" w:color="auto" w:fill="auto"/>
            <w:vAlign w:val="center"/>
          </w:tcPr>
          <w:p w14:paraId="7D6C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88" w:type="dxa"/>
            <w:tcBorders>
              <w:tl2br w:val="nil"/>
              <w:tr2bl w:val="nil"/>
            </w:tcBorders>
            <w:shd w:val="clear" w:color="auto" w:fill="auto"/>
            <w:vAlign w:val="center"/>
          </w:tcPr>
          <w:p w14:paraId="4F44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控制在预算内</w:t>
            </w:r>
          </w:p>
        </w:tc>
        <w:tc>
          <w:tcPr>
            <w:tcW w:w="4573" w:type="dxa"/>
            <w:gridSpan w:val="2"/>
            <w:tcBorders>
              <w:tl2br w:val="nil"/>
              <w:tr2bl w:val="nil"/>
            </w:tcBorders>
            <w:shd w:val="clear" w:color="auto" w:fill="auto"/>
            <w:vAlign w:val="center"/>
          </w:tcPr>
          <w:p w14:paraId="0A74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≤88.26万元</w:t>
            </w:r>
          </w:p>
        </w:tc>
      </w:tr>
      <w:tr w14:paraId="7474A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477" w:type="dxa"/>
            <w:vMerge w:val="continue"/>
            <w:tcBorders>
              <w:tl2br w:val="nil"/>
              <w:tr2bl w:val="nil"/>
            </w:tcBorders>
            <w:shd w:val="clear" w:color="auto" w:fill="auto"/>
            <w:vAlign w:val="center"/>
          </w:tcPr>
          <w:p w14:paraId="418D2FFE">
            <w:pPr>
              <w:jc w:val="center"/>
              <w:rPr>
                <w:rFonts w:hint="eastAsia" w:ascii="宋体" w:hAnsi="宋体" w:eastAsia="宋体" w:cs="宋体"/>
                <w:i w:val="0"/>
                <w:iCs w:val="0"/>
                <w:color w:val="000000"/>
                <w:sz w:val="20"/>
                <w:szCs w:val="20"/>
                <w:u w:val="none"/>
              </w:rPr>
            </w:pPr>
          </w:p>
        </w:tc>
        <w:tc>
          <w:tcPr>
            <w:tcW w:w="478" w:type="dxa"/>
            <w:vMerge w:val="restart"/>
            <w:tcBorders>
              <w:tl2br w:val="nil"/>
              <w:tr2bl w:val="nil"/>
            </w:tcBorders>
            <w:shd w:val="clear" w:color="auto" w:fill="auto"/>
            <w:vAlign w:val="center"/>
          </w:tcPr>
          <w:p w14:paraId="0B41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25" w:type="dxa"/>
            <w:gridSpan w:val="2"/>
            <w:tcBorders>
              <w:tl2br w:val="nil"/>
              <w:tr2bl w:val="nil"/>
            </w:tcBorders>
            <w:shd w:val="clear" w:color="auto" w:fill="auto"/>
            <w:vAlign w:val="center"/>
          </w:tcPr>
          <w:p w14:paraId="36F48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88" w:type="dxa"/>
            <w:tcBorders>
              <w:tl2br w:val="nil"/>
              <w:tr2bl w:val="nil"/>
            </w:tcBorders>
            <w:shd w:val="clear" w:color="auto" w:fill="auto"/>
            <w:vAlign w:val="center"/>
          </w:tcPr>
          <w:p w14:paraId="7300B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c>
          <w:tcPr>
            <w:tcW w:w="4573" w:type="dxa"/>
            <w:gridSpan w:val="2"/>
            <w:tcBorders>
              <w:tl2br w:val="nil"/>
              <w:tr2bl w:val="nil"/>
            </w:tcBorders>
            <w:shd w:val="clear" w:color="auto" w:fill="auto"/>
            <w:vAlign w:val="center"/>
          </w:tcPr>
          <w:p w14:paraId="445C8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0C67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477" w:type="dxa"/>
            <w:vMerge w:val="continue"/>
            <w:tcBorders>
              <w:tl2br w:val="nil"/>
              <w:tr2bl w:val="nil"/>
            </w:tcBorders>
            <w:shd w:val="clear" w:color="auto" w:fill="auto"/>
            <w:vAlign w:val="center"/>
          </w:tcPr>
          <w:p w14:paraId="54B340BA">
            <w:pPr>
              <w:jc w:val="center"/>
              <w:rPr>
                <w:rFonts w:hint="eastAsia" w:ascii="宋体" w:hAnsi="宋体" w:eastAsia="宋体" w:cs="宋体"/>
                <w:i w:val="0"/>
                <w:iCs w:val="0"/>
                <w:color w:val="000000"/>
                <w:sz w:val="20"/>
                <w:szCs w:val="20"/>
                <w:u w:val="none"/>
              </w:rPr>
            </w:pPr>
          </w:p>
        </w:tc>
        <w:tc>
          <w:tcPr>
            <w:tcW w:w="478" w:type="dxa"/>
            <w:vMerge w:val="continue"/>
            <w:tcBorders>
              <w:tl2br w:val="nil"/>
              <w:tr2bl w:val="nil"/>
            </w:tcBorders>
            <w:shd w:val="clear" w:color="auto" w:fill="auto"/>
            <w:vAlign w:val="center"/>
          </w:tcPr>
          <w:p w14:paraId="1330C542">
            <w:pPr>
              <w:jc w:val="center"/>
              <w:rPr>
                <w:rFonts w:hint="eastAsia" w:ascii="宋体" w:hAnsi="宋体" w:eastAsia="宋体" w:cs="宋体"/>
                <w:i w:val="0"/>
                <w:iCs w:val="0"/>
                <w:color w:val="000000"/>
                <w:sz w:val="20"/>
                <w:szCs w:val="20"/>
                <w:u w:val="none"/>
              </w:rPr>
            </w:pPr>
          </w:p>
        </w:tc>
        <w:tc>
          <w:tcPr>
            <w:tcW w:w="1325" w:type="dxa"/>
            <w:gridSpan w:val="2"/>
            <w:tcBorders>
              <w:tl2br w:val="nil"/>
              <w:tr2bl w:val="nil"/>
            </w:tcBorders>
            <w:shd w:val="clear" w:color="auto" w:fill="auto"/>
            <w:vAlign w:val="center"/>
          </w:tcPr>
          <w:p w14:paraId="350BD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88" w:type="dxa"/>
            <w:tcBorders>
              <w:tl2br w:val="nil"/>
              <w:tr2bl w:val="nil"/>
            </w:tcBorders>
            <w:shd w:val="clear" w:color="auto" w:fill="auto"/>
            <w:vAlign w:val="center"/>
          </w:tcPr>
          <w:p w14:paraId="346C5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减轻企、事业单位检验费用的负担</w:t>
            </w:r>
          </w:p>
        </w:tc>
        <w:tc>
          <w:tcPr>
            <w:tcW w:w="4573" w:type="dxa"/>
            <w:gridSpan w:val="2"/>
            <w:tcBorders>
              <w:tl2br w:val="nil"/>
              <w:tr2bl w:val="nil"/>
            </w:tcBorders>
            <w:shd w:val="clear" w:color="auto" w:fill="auto"/>
            <w:vAlign w:val="center"/>
          </w:tcPr>
          <w:p w14:paraId="1D2F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免费用</w:t>
            </w:r>
          </w:p>
        </w:tc>
      </w:tr>
      <w:tr w14:paraId="0433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477" w:type="dxa"/>
            <w:vMerge w:val="continue"/>
            <w:tcBorders>
              <w:tl2br w:val="nil"/>
              <w:tr2bl w:val="nil"/>
            </w:tcBorders>
            <w:shd w:val="clear" w:color="auto" w:fill="auto"/>
            <w:vAlign w:val="center"/>
          </w:tcPr>
          <w:p w14:paraId="2C622D29">
            <w:pPr>
              <w:jc w:val="center"/>
              <w:rPr>
                <w:rFonts w:hint="eastAsia" w:ascii="宋体" w:hAnsi="宋体" w:eastAsia="宋体" w:cs="宋体"/>
                <w:i w:val="0"/>
                <w:iCs w:val="0"/>
                <w:color w:val="000000"/>
                <w:sz w:val="20"/>
                <w:szCs w:val="20"/>
                <w:u w:val="none"/>
              </w:rPr>
            </w:pPr>
          </w:p>
        </w:tc>
        <w:tc>
          <w:tcPr>
            <w:tcW w:w="478" w:type="dxa"/>
            <w:vMerge w:val="continue"/>
            <w:tcBorders>
              <w:tl2br w:val="nil"/>
              <w:tr2bl w:val="nil"/>
            </w:tcBorders>
            <w:shd w:val="clear" w:color="auto" w:fill="auto"/>
            <w:vAlign w:val="center"/>
          </w:tcPr>
          <w:p w14:paraId="7B220C24">
            <w:pPr>
              <w:jc w:val="center"/>
              <w:rPr>
                <w:rFonts w:hint="eastAsia" w:ascii="宋体" w:hAnsi="宋体" w:eastAsia="宋体" w:cs="宋体"/>
                <w:i w:val="0"/>
                <w:iCs w:val="0"/>
                <w:color w:val="000000"/>
                <w:sz w:val="20"/>
                <w:szCs w:val="20"/>
                <w:u w:val="none"/>
              </w:rPr>
            </w:pPr>
          </w:p>
        </w:tc>
        <w:tc>
          <w:tcPr>
            <w:tcW w:w="1325" w:type="dxa"/>
            <w:gridSpan w:val="2"/>
            <w:tcBorders>
              <w:tl2br w:val="nil"/>
              <w:tr2bl w:val="nil"/>
            </w:tcBorders>
            <w:shd w:val="clear" w:color="auto" w:fill="auto"/>
            <w:vAlign w:val="center"/>
          </w:tcPr>
          <w:p w14:paraId="07A50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88" w:type="dxa"/>
            <w:tcBorders>
              <w:tl2br w:val="nil"/>
              <w:tr2bl w:val="nil"/>
            </w:tcBorders>
            <w:shd w:val="clear" w:color="auto" w:fill="auto"/>
            <w:vAlign w:val="center"/>
          </w:tcPr>
          <w:p w14:paraId="1B312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无生态效益</w:t>
            </w:r>
          </w:p>
        </w:tc>
        <w:tc>
          <w:tcPr>
            <w:tcW w:w="4573" w:type="dxa"/>
            <w:gridSpan w:val="2"/>
            <w:tcBorders>
              <w:tl2br w:val="nil"/>
              <w:tr2bl w:val="nil"/>
            </w:tcBorders>
            <w:shd w:val="clear" w:color="auto" w:fill="auto"/>
            <w:vAlign w:val="center"/>
          </w:tcPr>
          <w:p w14:paraId="2DBB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14:paraId="56F6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477" w:type="dxa"/>
            <w:vMerge w:val="continue"/>
            <w:tcBorders>
              <w:tl2br w:val="nil"/>
              <w:tr2bl w:val="nil"/>
            </w:tcBorders>
            <w:shd w:val="clear" w:color="auto" w:fill="auto"/>
            <w:vAlign w:val="center"/>
          </w:tcPr>
          <w:p w14:paraId="7E9126F6">
            <w:pPr>
              <w:jc w:val="center"/>
              <w:rPr>
                <w:rFonts w:hint="eastAsia" w:ascii="宋体" w:hAnsi="宋体" w:eastAsia="宋体" w:cs="宋体"/>
                <w:i w:val="0"/>
                <w:iCs w:val="0"/>
                <w:color w:val="000000"/>
                <w:sz w:val="20"/>
                <w:szCs w:val="20"/>
                <w:u w:val="none"/>
              </w:rPr>
            </w:pPr>
          </w:p>
        </w:tc>
        <w:tc>
          <w:tcPr>
            <w:tcW w:w="478" w:type="dxa"/>
            <w:vMerge w:val="continue"/>
            <w:tcBorders>
              <w:tl2br w:val="nil"/>
              <w:tr2bl w:val="nil"/>
            </w:tcBorders>
            <w:shd w:val="clear" w:color="auto" w:fill="auto"/>
            <w:vAlign w:val="center"/>
          </w:tcPr>
          <w:p w14:paraId="7365C7BB">
            <w:pPr>
              <w:jc w:val="center"/>
              <w:rPr>
                <w:rFonts w:hint="eastAsia" w:ascii="宋体" w:hAnsi="宋体" w:eastAsia="宋体" w:cs="宋体"/>
                <w:i w:val="0"/>
                <w:iCs w:val="0"/>
                <w:color w:val="000000"/>
                <w:sz w:val="20"/>
                <w:szCs w:val="20"/>
                <w:u w:val="none"/>
              </w:rPr>
            </w:pPr>
          </w:p>
        </w:tc>
        <w:tc>
          <w:tcPr>
            <w:tcW w:w="1325" w:type="dxa"/>
            <w:gridSpan w:val="2"/>
            <w:tcBorders>
              <w:tl2br w:val="nil"/>
              <w:tr2bl w:val="nil"/>
            </w:tcBorders>
            <w:shd w:val="clear" w:color="auto" w:fill="auto"/>
            <w:vAlign w:val="center"/>
          </w:tcPr>
          <w:p w14:paraId="791B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88" w:type="dxa"/>
            <w:tcBorders>
              <w:tl2br w:val="nil"/>
              <w:tr2bl w:val="nil"/>
            </w:tcBorders>
            <w:shd w:val="clear" w:color="auto" w:fill="auto"/>
            <w:vAlign w:val="center"/>
          </w:tcPr>
          <w:p w14:paraId="7C11E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检验工作持续发挥作用的期限</w:t>
            </w:r>
          </w:p>
        </w:tc>
        <w:tc>
          <w:tcPr>
            <w:tcW w:w="4573" w:type="dxa"/>
            <w:gridSpan w:val="2"/>
            <w:tcBorders>
              <w:tl2br w:val="nil"/>
              <w:tr2bl w:val="nil"/>
            </w:tcBorders>
            <w:shd w:val="clear" w:color="auto" w:fill="auto"/>
            <w:vAlign w:val="center"/>
          </w:tcPr>
          <w:p w14:paraId="27E59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r>
      <w:tr w14:paraId="4491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477" w:type="dxa"/>
            <w:vMerge w:val="continue"/>
            <w:tcBorders>
              <w:tl2br w:val="nil"/>
              <w:tr2bl w:val="nil"/>
            </w:tcBorders>
            <w:shd w:val="clear" w:color="auto" w:fill="auto"/>
            <w:vAlign w:val="center"/>
          </w:tcPr>
          <w:p w14:paraId="428A4271">
            <w:pPr>
              <w:jc w:val="center"/>
              <w:rPr>
                <w:rFonts w:hint="eastAsia" w:ascii="宋体" w:hAnsi="宋体" w:eastAsia="宋体" w:cs="宋体"/>
                <w:i w:val="0"/>
                <w:iCs w:val="0"/>
                <w:color w:val="000000"/>
                <w:sz w:val="20"/>
                <w:szCs w:val="20"/>
                <w:u w:val="none"/>
              </w:rPr>
            </w:pPr>
          </w:p>
        </w:tc>
        <w:tc>
          <w:tcPr>
            <w:tcW w:w="478" w:type="dxa"/>
            <w:tcBorders>
              <w:tl2br w:val="nil"/>
              <w:tr2bl w:val="nil"/>
            </w:tcBorders>
            <w:shd w:val="clear" w:color="auto" w:fill="auto"/>
            <w:vAlign w:val="center"/>
          </w:tcPr>
          <w:p w14:paraId="3CCCC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25" w:type="dxa"/>
            <w:gridSpan w:val="2"/>
            <w:tcBorders>
              <w:tl2br w:val="nil"/>
              <w:tr2bl w:val="nil"/>
            </w:tcBorders>
            <w:shd w:val="clear" w:color="auto" w:fill="auto"/>
            <w:vAlign w:val="center"/>
          </w:tcPr>
          <w:p w14:paraId="335F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88" w:type="dxa"/>
            <w:tcBorders>
              <w:tl2br w:val="nil"/>
              <w:tr2bl w:val="nil"/>
            </w:tcBorders>
            <w:shd w:val="clear" w:color="auto" w:fill="auto"/>
            <w:vAlign w:val="center"/>
          </w:tcPr>
          <w:p w14:paraId="1474D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企、事业单位对检验工作的满意度</w:t>
            </w:r>
          </w:p>
        </w:tc>
        <w:tc>
          <w:tcPr>
            <w:tcW w:w="4573" w:type="dxa"/>
            <w:gridSpan w:val="2"/>
            <w:tcBorders>
              <w:tl2br w:val="nil"/>
              <w:tr2bl w:val="nil"/>
            </w:tcBorders>
            <w:shd w:val="clear" w:color="auto" w:fill="auto"/>
            <w:vAlign w:val="center"/>
          </w:tcPr>
          <w:p w14:paraId="7C0BA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≥98百分比</w:t>
            </w:r>
          </w:p>
        </w:tc>
      </w:tr>
    </w:tbl>
    <w:p w14:paraId="2407EEEF">
      <w:pPr>
        <w:ind w:firstLine="420" w:firstLineChars="200"/>
      </w:pPr>
    </w:p>
    <w:p w14:paraId="56CD9A8C">
      <w:pPr>
        <w:ind w:firstLine="420" w:firstLineChars="200"/>
      </w:pPr>
    </w:p>
    <w:p w14:paraId="0D4A8DB3">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2、“单位劳务保障支出”项目。</w:t>
      </w:r>
    </w:p>
    <w:p w14:paraId="0C7694B5">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（1）项目概述。</w:t>
      </w:r>
    </w:p>
    <w:p w14:paraId="7A9B4113">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棉花公证检验以国家检验的形式，用最小的行政成本和财务成本，实现了效益最大化，公证检验从设计到运行，经过实践的检验，是一项行之有效、利国利民的制度。</w:t>
      </w:r>
    </w:p>
    <w:p w14:paraId="67062E37">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（2）立项依据。</w:t>
      </w:r>
    </w:p>
    <w:p w14:paraId="111D8A2D">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产品质量法》、《棉花</w:t>
      </w:r>
      <w:r>
        <w:rPr>
          <w:rFonts w:hint="eastAsia" w:ascii="仿宋" w:hAnsi="仿宋" w:eastAsia="仿宋" w:cs="仿宋"/>
          <w:sz w:val="32"/>
          <w:szCs w:val="32"/>
          <w:lang w:val="en-US" w:eastAsia="zh-CN"/>
        </w:rPr>
        <w:t>质量</w:t>
      </w:r>
      <w:r>
        <w:rPr>
          <w:rFonts w:hint="eastAsia" w:ascii="仿宋" w:hAnsi="仿宋" w:eastAsia="仿宋" w:cs="仿宋"/>
          <w:sz w:val="32"/>
          <w:szCs w:val="32"/>
        </w:rPr>
        <w:t>监督管理条例》</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国家棉花等纤维</w:t>
      </w:r>
      <w:r>
        <w:rPr>
          <w:rFonts w:hint="eastAsia" w:ascii="仿宋" w:hAnsi="仿宋" w:eastAsia="仿宋" w:cs="仿宋"/>
          <w:sz w:val="32"/>
          <w:szCs w:val="32"/>
        </w:rPr>
        <w:t>公证检验经费管理</w:t>
      </w:r>
      <w:r>
        <w:rPr>
          <w:rFonts w:hint="eastAsia" w:ascii="仿宋" w:hAnsi="仿宋" w:eastAsia="仿宋" w:cs="仿宋"/>
          <w:sz w:val="32"/>
          <w:szCs w:val="32"/>
          <w:lang w:val="en-US" w:eastAsia="zh-CN"/>
        </w:rPr>
        <w:t>暂行</w:t>
      </w:r>
      <w:r>
        <w:rPr>
          <w:rFonts w:hint="eastAsia" w:ascii="仿宋" w:hAnsi="仿宋" w:eastAsia="仿宋" w:cs="仿宋"/>
          <w:sz w:val="32"/>
          <w:szCs w:val="32"/>
        </w:rPr>
        <w:t>办法》</w:t>
      </w:r>
      <w:r>
        <w:rPr>
          <w:rFonts w:hint="eastAsia" w:ascii="仿宋" w:hAnsi="仿宋" w:eastAsia="仿宋" w:cs="仿宋"/>
          <w:sz w:val="32"/>
          <w:szCs w:val="32"/>
          <w:lang w:eastAsia="zh-CN"/>
        </w:rPr>
        <w:t>。</w:t>
      </w:r>
    </w:p>
    <w:p w14:paraId="32E37AB5">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val="en-US" w:eastAsia="zh-CN"/>
        </w:rPr>
        <w:t>淮北市纤维检验所</w:t>
      </w:r>
      <w:bookmarkStart w:id="0" w:name="_GoBack"/>
      <w:bookmarkEnd w:id="0"/>
    </w:p>
    <w:p w14:paraId="19C82B84">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sz w:val="32"/>
          <w:szCs w:val="32"/>
          <w:lang w:val="en-US" w:eastAsia="zh-CN"/>
        </w:rPr>
        <w:t>2025年1月至12月</w:t>
      </w:r>
    </w:p>
    <w:p w14:paraId="735F7571">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val="en-US" w:eastAsia="zh-CN"/>
        </w:rPr>
        <w:t>劳务费33.07万元。</w:t>
      </w:r>
    </w:p>
    <w:p w14:paraId="3E0FBA81">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2025年预算安排33.07万元</w:t>
      </w:r>
      <w:r>
        <w:rPr>
          <w:rFonts w:hint="eastAsia" w:ascii="仿宋" w:hAnsi="仿宋" w:eastAsia="仿宋" w:cs="仿宋"/>
          <w:kern w:val="0"/>
          <w:sz w:val="32"/>
          <w:szCs w:val="32"/>
          <w:lang w:eastAsia="zh-CN"/>
        </w:rPr>
        <w:t>。</w:t>
      </w:r>
    </w:p>
    <w:p w14:paraId="6970CE4C">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（7）绩效目标。帮扶就业困难群体就业，保障机关运行。</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478"/>
        <w:gridCol w:w="608"/>
        <w:gridCol w:w="717"/>
        <w:gridCol w:w="2888"/>
        <w:gridCol w:w="2002"/>
        <w:gridCol w:w="2571"/>
      </w:tblGrid>
      <w:tr w14:paraId="2168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41" w:type="dxa"/>
            <w:gridSpan w:val="7"/>
            <w:tcBorders>
              <w:top w:val="nil"/>
              <w:left w:val="nil"/>
              <w:bottom w:val="nil"/>
              <w:right w:val="nil"/>
            </w:tcBorders>
            <w:shd w:val="clear" w:color="auto" w:fill="auto"/>
            <w:vAlign w:val="center"/>
          </w:tcPr>
          <w:p w14:paraId="14E3E22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F5B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741" w:type="dxa"/>
            <w:gridSpan w:val="7"/>
            <w:tcBorders>
              <w:top w:val="nil"/>
              <w:left w:val="nil"/>
              <w:bottom w:val="nil"/>
              <w:right w:val="nil"/>
            </w:tcBorders>
            <w:shd w:val="clear" w:color="auto" w:fill="auto"/>
            <w:vAlign w:val="center"/>
          </w:tcPr>
          <w:p w14:paraId="0C7FC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6A55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563" w:type="dxa"/>
            <w:gridSpan w:val="3"/>
            <w:tcBorders>
              <w:top w:val="nil"/>
              <w:left w:val="nil"/>
              <w:bottom w:val="nil"/>
              <w:right w:val="nil"/>
            </w:tcBorders>
            <w:shd w:val="clear" w:color="auto" w:fill="auto"/>
            <w:vAlign w:val="center"/>
          </w:tcPr>
          <w:p w14:paraId="5A86A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78" w:type="dxa"/>
            <w:gridSpan w:val="4"/>
            <w:tcBorders>
              <w:top w:val="nil"/>
              <w:left w:val="nil"/>
              <w:bottom w:val="nil"/>
              <w:right w:val="nil"/>
            </w:tcBorders>
            <w:shd w:val="clear" w:color="auto" w:fill="auto"/>
            <w:vAlign w:val="center"/>
          </w:tcPr>
          <w:p w14:paraId="25762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单位劳务保障支出</w:t>
            </w:r>
          </w:p>
        </w:tc>
      </w:tr>
      <w:tr w14:paraId="7B81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A5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99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4F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20B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淮北市纤维检验所</w:t>
            </w:r>
          </w:p>
        </w:tc>
      </w:tr>
      <w:tr w14:paraId="0A7F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563" w:type="dxa"/>
            <w:gridSpan w:val="3"/>
            <w:tcBorders>
              <w:top w:val="nil"/>
              <w:left w:val="single" w:color="000000" w:sz="4" w:space="0"/>
              <w:bottom w:val="single" w:color="000000" w:sz="4" w:space="0"/>
              <w:right w:val="nil"/>
            </w:tcBorders>
            <w:shd w:val="clear" w:color="auto" w:fill="auto"/>
            <w:vAlign w:val="center"/>
          </w:tcPr>
          <w:p w14:paraId="7EC6C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05" w:type="dxa"/>
            <w:gridSpan w:val="2"/>
            <w:tcBorders>
              <w:top w:val="nil"/>
              <w:left w:val="single" w:color="000000" w:sz="4" w:space="0"/>
              <w:bottom w:val="single" w:color="000000" w:sz="4" w:space="0"/>
              <w:right w:val="nil"/>
            </w:tcBorders>
            <w:shd w:val="clear" w:color="auto" w:fill="auto"/>
            <w:vAlign w:val="center"/>
          </w:tcPr>
          <w:p w14:paraId="42E62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002" w:type="dxa"/>
            <w:tcBorders>
              <w:top w:val="nil"/>
              <w:left w:val="single" w:color="000000" w:sz="4" w:space="0"/>
              <w:bottom w:val="single" w:color="000000" w:sz="4" w:space="0"/>
              <w:right w:val="nil"/>
            </w:tcBorders>
            <w:shd w:val="clear" w:color="auto" w:fill="auto"/>
            <w:vAlign w:val="center"/>
          </w:tcPr>
          <w:p w14:paraId="63996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571" w:type="dxa"/>
            <w:tcBorders>
              <w:top w:val="nil"/>
              <w:left w:val="single" w:color="000000" w:sz="4" w:space="0"/>
              <w:bottom w:val="single" w:color="000000" w:sz="4" w:space="0"/>
              <w:right w:val="single" w:color="000000" w:sz="4" w:space="0"/>
            </w:tcBorders>
            <w:shd w:val="clear" w:color="auto" w:fill="auto"/>
            <w:vAlign w:val="center"/>
          </w:tcPr>
          <w:p w14:paraId="31D77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A20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563"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03D7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05" w:type="dxa"/>
            <w:gridSpan w:val="2"/>
            <w:tcBorders>
              <w:top w:val="single" w:color="000000" w:sz="4" w:space="0"/>
              <w:left w:val="single" w:color="000000" w:sz="4" w:space="0"/>
              <w:bottom w:val="single" w:color="000000" w:sz="4" w:space="0"/>
              <w:right w:val="nil"/>
            </w:tcBorders>
            <w:shd w:val="clear" w:color="auto" w:fill="auto"/>
            <w:vAlign w:val="center"/>
          </w:tcPr>
          <w:p w14:paraId="5643B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573" w:type="dxa"/>
            <w:gridSpan w:val="2"/>
            <w:tcBorders>
              <w:top w:val="single" w:color="000000" w:sz="4" w:space="0"/>
              <w:left w:val="single" w:color="000000" w:sz="4" w:space="0"/>
              <w:bottom w:val="single" w:color="000000" w:sz="4" w:space="0"/>
              <w:right w:val="nil"/>
            </w:tcBorders>
            <w:shd w:val="clear" w:color="auto" w:fill="auto"/>
            <w:vAlign w:val="center"/>
          </w:tcPr>
          <w:p w14:paraId="30FC0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33.07 </w:t>
            </w:r>
          </w:p>
        </w:tc>
      </w:tr>
      <w:tr w14:paraId="2BBF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56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91B792A">
            <w:pPr>
              <w:jc w:val="center"/>
              <w:rPr>
                <w:rFonts w:hint="eastAsia" w:ascii="宋体" w:hAnsi="宋体" w:eastAsia="宋体" w:cs="宋体"/>
                <w:i w:val="0"/>
                <w:iCs w:val="0"/>
                <w:color w:val="000000"/>
                <w:sz w:val="20"/>
                <w:szCs w:val="20"/>
                <w:u w:val="none"/>
              </w:rPr>
            </w:pPr>
          </w:p>
        </w:tc>
        <w:tc>
          <w:tcPr>
            <w:tcW w:w="3605" w:type="dxa"/>
            <w:gridSpan w:val="2"/>
            <w:tcBorders>
              <w:top w:val="single" w:color="000000" w:sz="4" w:space="0"/>
              <w:left w:val="single" w:color="000000" w:sz="4" w:space="0"/>
              <w:bottom w:val="single" w:color="000000" w:sz="4" w:space="0"/>
              <w:right w:val="nil"/>
            </w:tcBorders>
            <w:shd w:val="clear" w:color="auto" w:fill="auto"/>
            <w:vAlign w:val="center"/>
          </w:tcPr>
          <w:p w14:paraId="34837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EE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33.07 </w:t>
            </w:r>
          </w:p>
        </w:tc>
      </w:tr>
      <w:tr w14:paraId="2D34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56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C6CDBCE">
            <w:pPr>
              <w:jc w:val="center"/>
              <w:rPr>
                <w:rFonts w:hint="eastAsia" w:ascii="宋体" w:hAnsi="宋体" w:eastAsia="宋体" w:cs="宋体"/>
                <w:i w:val="0"/>
                <w:iCs w:val="0"/>
                <w:color w:val="000000"/>
                <w:sz w:val="20"/>
                <w:szCs w:val="20"/>
                <w:u w:val="none"/>
              </w:rPr>
            </w:pPr>
          </w:p>
        </w:tc>
        <w:tc>
          <w:tcPr>
            <w:tcW w:w="3605" w:type="dxa"/>
            <w:gridSpan w:val="2"/>
            <w:tcBorders>
              <w:top w:val="single" w:color="000000" w:sz="4" w:space="0"/>
              <w:left w:val="single" w:color="000000" w:sz="4" w:space="0"/>
              <w:bottom w:val="single" w:color="000000" w:sz="4" w:space="0"/>
              <w:right w:val="nil"/>
            </w:tcBorders>
            <w:shd w:val="clear" w:color="auto" w:fill="auto"/>
            <w:vAlign w:val="center"/>
          </w:tcPr>
          <w:p w14:paraId="0D8F4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AC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4173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56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9AD54C3">
            <w:pPr>
              <w:jc w:val="center"/>
              <w:rPr>
                <w:rFonts w:hint="eastAsia" w:ascii="宋体" w:hAnsi="宋体" w:eastAsia="宋体" w:cs="宋体"/>
                <w:i w:val="0"/>
                <w:iCs w:val="0"/>
                <w:color w:val="000000"/>
                <w:sz w:val="20"/>
                <w:szCs w:val="20"/>
                <w:u w:val="none"/>
              </w:rPr>
            </w:pPr>
          </w:p>
        </w:tc>
        <w:tc>
          <w:tcPr>
            <w:tcW w:w="3605" w:type="dxa"/>
            <w:gridSpan w:val="2"/>
            <w:tcBorders>
              <w:top w:val="single" w:color="000000" w:sz="4" w:space="0"/>
              <w:left w:val="single" w:color="000000" w:sz="4" w:space="0"/>
              <w:bottom w:val="single" w:color="000000" w:sz="4" w:space="0"/>
              <w:right w:val="nil"/>
            </w:tcBorders>
            <w:shd w:val="clear" w:color="auto" w:fill="auto"/>
            <w:vAlign w:val="center"/>
          </w:tcPr>
          <w:p w14:paraId="65929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FE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7B40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7" w:type="dxa"/>
            <w:tcBorders>
              <w:top w:val="single" w:color="000000" w:sz="4" w:space="0"/>
              <w:left w:val="single" w:color="000000" w:sz="4" w:space="0"/>
              <w:bottom w:val="single" w:color="000000" w:sz="4" w:space="0"/>
              <w:right w:val="nil"/>
            </w:tcBorders>
            <w:shd w:val="clear" w:color="auto" w:fill="auto"/>
            <w:vAlign w:val="center"/>
          </w:tcPr>
          <w:p w14:paraId="24E5A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2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37A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帮扶就业困难群体就业，保障机关运行。</w:t>
            </w:r>
          </w:p>
        </w:tc>
      </w:tr>
      <w:tr w14:paraId="3782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A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78" w:type="dxa"/>
            <w:tcBorders>
              <w:top w:val="single" w:color="000000" w:sz="4" w:space="0"/>
              <w:left w:val="nil"/>
              <w:bottom w:val="single" w:color="000000" w:sz="4" w:space="0"/>
              <w:right w:val="nil"/>
            </w:tcBorders>
            <w:shd w:val="clear" w:color="auto" w:fill="auto"/>
            <w:vAlign w:val="center"/>
          </w:tcPr>
          <w:p w14:paraId="1C44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5DD0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2AC8E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C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1AA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3490">
            <w:pPr>
              <w:jc w:val="center"/>
              <w:rPr>
                <w:rFonts w:hint="eastAsia" w:ascii="宋体" w:hAnsi="宋体" w:eastAsia="宋体" w:cs="宋体"/>
                <w:i w:val="0"/>
                <w:iCs w:val="0"/>
                <w:color w:val="000000"/>
                <w:sz w:val="20"/>
                <w:szCs w:val="20"/>
                <w:u w:val="none"/>
              </w:rPr>
            </w:pPr>
          </w:p>
        </w:tc>
        <w:tc>
          <w:tcPr>
            <w:tcW w:w="478" w:type="dxa"/>
            <w:vMerge w:val="restart"/>
            <w:tcBorders>
              <w:top w:val="single" w:color="000000" w:sz="4" w:space="0"/>
              <w:left w:val="nil"/>
              <w:bottom w:val="single" w:color="000000" w:sz="4" w:space="0"/>
              <w:right w:val="nil"/>
            </w:tcBorders>
            <w:shd w:val="clear" w:color="auto" w:fill="auto"/>
            <w:vAlign w:val="center"/>
          </w:tcPr>
          <w:p w14:paraId="3DCC1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3493A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015E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单位聘用人员</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3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w:t>
            </w:r>
          </w:p>
        </w:tc>
      </w:tr>
      <w:tr w14:paraId="4290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2E2C">
            <w:pPr>
              <w:jc w:val="center"/>
              <w:rPr>
                <w:rFonts w:hint="eastAsia" w:ascii="宋体" w:hAnsi="宋体" w:eastAsia="宋体" w:cs="宋体"/>
                <w:i w:val="0"/>
                <w:iCs w:val="0"/>
                <w:color w:val="000000"/>
                <w:sz w:val="20"/>
                <w:szCs w:val="20"/>
                <w:u w:val="none"/>
              </w:rPr>
            </w:pPr>
          </w:p>
        </w:tc>
        <w:tc>
          <w:tcPr>
            <w:tcW w:w="478" w:type="dxa"/>
            <w:vMerge w:val="continue"/>
            <w:tcBorders>
              <w:top w:val="single" w:color="000000" w:sz="4" w:space="0"/>
              <w:left w:val="nil"/>
              <w:bottom w:val="single" w:color="000000" w:sz="4" w:space="0"/>
              <w:right w:val="nil"/>
            </w:tcBorders>
            <w:shd w:val="clear" w:color="auto" w:fill="auto"/>
            <w:vAlign w:val="center"/>
          </w:tcPr>
          <w:p w14:paraId="53CF67A9">
            <w:pPr>
              <w:jc w:val="center"/>
              <w:rPr>
                <w:rFonts w:hint="eastAsia" w:ascii="宋体" w:hAnsi="宋体" w:eastAsia="宋体" w:cs="宋体"/>
                <w:i w:val="0"/>
                <w:iCs w:val="0"/>
                <w:color w:val="000000"/>
                <w:sz w:val="20"/>
                <w:szCs w:val="20"/>
                <w:u w:val="none"/>
              </w:rPr>
            </w:pP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5306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24352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保质保量的完成单位工资任务</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5D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2BA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8E93">
            <w:pPr>
              <w:jc w:val="center"/>
              <w:rPr>
                <w:rFonts w:hint="eastAsia" w:ascii="宋体" w:hAnsi="宋体" w:eastAsia="宋体" w:cs="宋体"/>
                <w:i w:val="0"/>
                <w:iCs w:val="0"/>
                <w:color w:val="000000"/>
                <w:sz w:val="20"/>
                <w:szCs w:val="20"/>
                <w:u w:val="none"/>
              </w:rPr>
            </w:pPr>
          </w:p>
        </w:tc>
        <w:tc>
          <w:tcPr>
            <w:tcW w:w="478" w:type="dxa"/>
            <w:vMerge w:val="continue"/>
            <w:tcBorders>
              <w:top w:val="single" w:color="000000" w:sz="4" w:space="0"/>
              <w:left w:val="nil"/>
              <w:bottom w:val="single" w:color="000000" w:sz="4" w:space="0"/>
              <w:right w:val="nil"/>
            </w:tcBorders>
            <w:shd w:val="clear" w:color="auto" w:fill="auto"/>
            <w:vAlign w:val="center"/>
          </w:tcPr>
          <w:p w14:paraId="1EB301E3">
            <w:pPr>
              <w:jc w:val="center"/>
              <w:rPr>
                <w:rFonts w:hint="eastAsia" w:ascii="宋体" w:hAnsi="宋体" w:eastAsia="宋体" w:cs="宋体"/>
                <w:i w:val="0"/>
                <w:iCs w:val="0"/>
                <w:color w:val="000000"/>
                <w:sz w:val="20"/>
                <w:szCs w:val="20"/>
                <w:u w:val="none"/>
              </w:rPr>
            </w:pP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3338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175C5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资金及时发放率</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FD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3B62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25B4">
            <w:pPr>
              <w:jc w:val="center"/>
              <w:rPr>
                <w:rFonts w:hint="eastAsia" w:ascii="宋体" w:hAnsi="宋体" w:eastAsia="宋体" w:cs="宋体"/>
                <w:i w:val="0"/>
                <w:iCs w:val="0"/>
                <w:color w:val="000000"/>
                <w:sz w:val="20"/>
                <w:szCs w:val="20"/>
                <w:u w:val="none"/>
              </w:rPr>
            </w:pPr>
          </w:p>
        </w:tc>
        <w:tc>
          <w:tcPr>
            <w:tcW w:w="478" w:type="dxa"/>
            <w:vMerge w:val="continue"/>
            <w:tcBorders>
              <w:top w:val="single" w:color="000000" w:sz="4" w:space="0"/>
              <w:left w:val="nil"/>
              <w:bottom w:val="single" w:color="000000" w:sz="4" w:space="0"/>
              <w:right w:val="nil"/>
            </w:tcBorders>
            <w:shd w:val="clear" w:color="auto" w:fill="auto"/>
            <w:vAlign w:val="center"/>
          </w:tcPr>
          <w:p w14:paraId="5B5BFBCC">
            <w:pPr>
              <w:jc w:val="center"/>
              <w:rPr>
                <w:rFonts w:hint="eastAsia" w:ascii="宋体" w:hAnsi="宋体" w:eastAsia="宋体" w:cs="宋体"/>
                <w:i w:val="0"/>
                <w:iCs w:val="0"/>
                <w:color w:val="000000"/>
                <w:sz w:val="20"/>
                <w:szCs w:val="20"/>
                <w:u w:val="none"/>
              </w:rPr>
            </w:pP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2B14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616E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在预算范围内</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9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≤33.7万元</w:t>
            </w:r>
          </w:p>
        </w:tc>
      </w:tr>
      <w:tr w14:paraId="6CCB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44CA">
            <w:pPr>
              <w:jc w:val="center"/>
              <w:rPr>
                <w:rFonts w:hint="eastAsia" w:ascii="宋体" w:hAnsi="宋体" w:eastAsia="宋体" w:cs="宋体"/>
                <w:i w:val="0"/>
                <w:iCs w:val="0"/>
                <w:color w:val="000000"/>
                <w:sz w:val="20"/>
                <w:szCs w:val="20"/>
                <w:u w:val="none"/>
              </w:rPr>
            </w:pPr>
          </w:p>
        </w:tc>
        <w:tc>
          <w:tcPr>
            <w:tcW w:w="478" w:type="dxa"/>
            <w:vMerge w:val="restart"/>
            <w:tcBorders>
              <w:top w:val="single" w:color="000000" w:sz="4" w:space="0"/>
              <w:left w:val="nil"/>
              <w:bottom w:val="single" w:color="000000" w:sz="4" w:space="0"/>
              <w:right w:val="nil"/>
            </w:tcBorders>
            <w:shd w:val="clear" w:color="auto" w:fill="auto"/>
            <w:vAlign w:val="center"/>
          </w:tcPr>
          <w:p w14:paraId="67781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64175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7D8F0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0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2B55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9853">
            <w:pPr>
              <w:jc w:val="center"/>
              <w:rPr>
                <w:rFonts w:hint="eastAsia" w:ascii="宋体" w:hAnsi="宋体" w:eastAsia="宋体" w:cs="宋体"/>
                <w:i w:val="0"/>
                <w:iCs w:val="0"/>
                <w:color w:val="000000"/>
                <w:sz w:val="20"/>
                <w:szCs w:val="20"/>
                <w:u w:val="none"/>
              </w:rPr>
            </w:pPr>
          </w:p>
        </w:tc>
        <w:tc>
          <w:tcPr>
            <w:tcW w:w="478" w:type="dxa"/>
            <w:vMerge w:val="continue"/>
            <w:tcBorders>
              <w:top w:val="single" w:color="000000" w:sz="4" w:space="0"/>
              <w:left w:val="nil"/>
              <w:bottom w:val="single" w:color="000000" w:sz="4" w:space="0"/>
              <w:right w:val="nil"/>
            </w:tcBorders>
            <w:shd w:val="clear" w:color="auto" w:fill="auto"/>
            <w:vAlign w:val="center"/>
          </w:tcPr>
          <w:p w14:paraId="745B5302">
            <w:pPr>
              <w:jc w:val="center"/>
              <w:rPr>
                <w:rFonts w:hint="eastAsia" w:ascii="宋体" w:hAnsi="宋体" w:eastAsia="宋体" w:cs="宋体"/>
                <w:i w:val="0"/>
                <w:iCs w:val="0"/>
                <w:color w:val="000000"/>
                <w:sz w:val="20"/>
                <w:szCs w:val="20"/>
                <w:u w:val="none"/>
              </w:rPr>
            </w:pP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0A0D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46BB8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增加群体就业</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F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持续增长</w:t>
            </w:r>
          </w:p>
        </w:tc>
      </w:tr>
      <w:tr w14:paraId="3F93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6FB1">
            <w:pPr>
              <w:jc w:val="center"/>
              <w:rPr>
                <w:rFonts w:hint="eastAsia" w:ascii="宋体" w:hAnsi="宋体" w:eastAsia="宋体" w:cs="宋体"/>
                <w:i w:val="0"/>
                <w:iCs w:val="0"/>
                <w:color w:val="000000"/>
                <w:sz w:val="20"/>
                <w:szCs w:val="20"/>
                <w:u w:val="none"/>
              </w:rPr>
            </w:pPr>
          </w:p>
        </w:tc>
        <w:tc>
          <w:tcPr>
            <w:tcW w:w="478" w:type="dxa"/>
            <w:vMerge w:val="continue"/>
            <w:tcBorders>
              <w:top w:val="single" w:color="000000" w:sz="4" w:space="0"/>
              <w:left w:val="nil"/>
              <w:bottom w:val="single" w:color="000000" w:sz="4" w:space="0"/>
              <w:right w:val="nil"/>
            </w:tcBorders>
            <w:shd w:val="clear" w:color="auto" w:fill="auto"/>
            <w:vAlign w:val="center"/>
          </w:tcPr>
          <w:p w14:paraId="65DF9322">
            <w:pPr>
              <w:jc w:val="center"/>
              <w:rPr>
                <w:rFonts w:hint="eastAsia" w:ascii="宋体" w:hAnsi="宋体" w:eastAsia="宋体" w:cs="宋体"/>
                <w:i w:val="0"/>
                <w:iCs w:val="0"/>
                <w:color w:val="000000"/>
                <w:sz w:val="20"/>
                <w:szCs w:val="20"/>
                <w:u w:val="none"/>
              </w:rPr>
            </w:pP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2C6C4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4C9D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无生态效益</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C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14:paraId="52EA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AB6C">
            <w:pPr>
              <w:jc w:val="center"/>
              <w:rPr>
                <w:rFonts w:hint="eastAsia" w:ascii="宋体" w:hAnsi="宋体" w:eastAsia="宋体" w:cs="宋体"/>
                <w:i w:val="0"/>
                <w:iCs w:val="0"/>
                <w:color w:val="000000"/>
                <w:sz w:val="20"/>
                <w:szCs w:val="20"/>
                <w:u w:val="none"/>
              </w:rPr>
            </w:pPr>
          </w:p>
        </w:tc>
        <w:tc>
          <w:tcPr>
            <w:tcW w:w="478" w:type="dxa"/>
            <w:vMerge w:val="continue"/>
            <w:tcBorders>
              <w:top w:val="single" w:color="000000" w:sz="4" w:space="0"/>
              <w:left w:val="nil"/>
              <w:bottom w:val="single" w:color="000000" w:sz="4" w:space="0"/>
              <w:right w:val="nil"/>
            </w:tcBorders>
            <w:shd w:val="clear" w:color="auto" w:fill="auto"/>
            <w:vAlign w:val="center"/>
          </w:tcPr>
          <w:p w14:paraId="076108D1">
            <w:pPr>
              <w:jc w:val="center"/>
              <w:rPr>
                <w:rFonts w:hint="eastAsia" w:ascii="宋体" w:hAnsi="宋体" w:eastAsia="宋体" w:cs="宋体"/>
                <w:i w:val="0"/>
                <w:iCs w:val="0"/>
                <w:color w:val="000000"/>
                <w:sz w:val="20"/>
                <w:szCs w:val="20"/>
                <w:u w:val="none"/>
              </w:rPr>
            </w:pP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7807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7364B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保证就业率</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09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14:paraId="7EDF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4313">
            <w:pPr>
              <w:jc w:val="center"/>
              <w:rPr>
                <w:rFonts w:hint="eastAsia" w:ascii="宋体" w:hAnsi="宋体" w:eastAsia="宋体" w:cs="宋体"/>
                <w:i w:val="0"/>
                <w:iCs w:val="0"/>
                <w:color w:val="000000"/>
                <w:sz w:val="20"/>
                <w:szCs w:val="20"/>
                <w:u w:val="none"/>
              </w:rPr>
            </w:pPr>
          </w:p>
        </w:tc>
        <w:tc>
          <w:tcPr>
            <w:tcW w:w="478" w:type="dxa"/>
            <w:tcBorders>
              <w:top w:val="single" w:color="000000" w:sz="4" w:space="0"/>
              <w:left w:val="nil"/>
              <w:bottom w:val="single" w:color="000000" w:sz="4" w:space="0"/>
              <w:right w:val="nil"/>
            </w:tcBorders>
            <w:shd w:val="clear" w:color="auto" w:fill="auto"/>
            <w:vAlign w:val="center"/>
          </w:tcPr>
          <w:p w14:paraId="145F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25" w:type="dxa"/>
            <w:gridSpan w:val="2"/>
            <w:tcBorders>
              <w:top w:val="single" w:color="000000" w:sz="4" w:space="0"/>
              <w:left w:val="single" w:color="000000" w:sz="4" w:space="0"/>
              <w:bottom w:val="single" w:color="000000" w:sz="4" w:space="0"/>
              <w:right w:val="nil"/>
            </w:tcBorders>
            <w:shd w:val="clear" w:color="auto" w:fill="auto"/>
            <w:vAlign w:val="center"/>
          </w:tcPr>
          <w:p w14:paraId="4EDB3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88" w:type="dxa"/>
            <w:tcBorders>
              <w:top w:val="single" w:color="000000" w:sz="4" w:space="0"/>
              <w:left w:val="single" w:color="000000" w:sz="4" w:space="0"/>
              <w:bottom w:val="single" w:color="000000" w:sz="4" w:space="0"/>
              <w:right w:val="nil"/>
            </w:tcBorders>
            <w:shd w:val="clear" w:color="auto" w:fill="auto"/>
            <w:vAlign w:val="center"/>
          </w:tcPr>
          <w:p w14:paraId="2278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职工满意程度</w:t>
            </w:r>
          </w:p>
        </w:tc>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7191605A">
      <w:pPr>
        <w:ind w:firstLine="420" w:firstLineChars="200"/>
      </w:pPr>
    </w:p>
    <w:p w14:paraId="12FFA07E">
      <w:pPr>
        <w:ind w:firstLine="420" w:firstLineChars="200"/>
      </w:pPr>
    </w:p>
    <w:p w14:paraId="33D204B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1051187">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2025年机关运行经费财政拨款预算</w:t>
      </w:r>
      <w:r>
        <w:rPr>
          <w:rFonts w:hint="eastAsia" w:ascii="仿宋" w:hAnsi="仿宋" w:eastAsia="仿宋" w:cs="仿宋"/>
          <w:kern w:val="0"/>
          <w:sz w:val="32"/>
          <w:szCs w:val="32"/>
          <w:lang w:val="en-US" w:eastAsia="zh-CN"/>
        </w:rPr>
        <w:t>8.38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0.12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1.41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人员工资变动</w:t>
      </w:r>
      <w:r>
        <w:rPr>
          <w:rFonts w:hint="eastAsia" w:ascii="仿宋" w:hAnsi="仿宋" w:eastAsia="仿宋" w:cs="仿宋"/>
          <w:kern w:val="0"/>
          <w:sz w:val="32"/>
          <w:szCs w:val="32"/>
        </w:rPr>
        <w:t>。</w:t>
      </w:r>
    </w:p>
    <w:p w14:paraId="735784BB">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（三）政府采购情况。</w:t>
      </w:r>
    </w:p>
    <w:p w14:paraId="2CCA3AE7">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1A47DB0C">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1918256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台（套），单价100万元以上的专用设备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台（套）。</w:t>
      </w:r>
    </w:p>
    <w:p w14:paraId="2B1A794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40884110">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019CF8E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淮北市纤维检验所</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121.33</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2B277041">
      <w:pPr>
        <w:pStyle w:val="4"/>
        <w:adjustRightInd w:val="0"/>
        <w:snapToGrid w:val="0"/>
        <w:spacing w:line="560" w:lineRule="exact"/>
        <w:jc w:val="center"/>
        <w:rPr>
          <w:rFonts w:ascii="TimesNewRoman" w:hAnsi="TimesNewRoman" w:eastAsia="黑体" w:cs="TimesNewRoman"/>
          <w:bCs/>
          <w:sz w:val="36"/>
          <w:szCs w:val="36"/>
        </w:rPr>
      </w:pPr>
    </w:p>
    <w:p w14:paraId="67E41A9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34A687"/>
    <w:p w14:paraId="60E5181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43B6034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93237A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972836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8DE91A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C32823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FC011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EFE7AC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CA4F29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11666D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78DE0"/>
    <w:multiLevelType w:val="singleLevel"/>
    <w:tmpl w:val="84078DE0"/>
    <w:lvl w:ilvl="0" w:tentative="0">
      <w:start w:val="1"/>
      <w:numFmt w:val="chineseCounting"/>
      <w:suff w:val="nothing"/>
      <w:lvlText w:val="（%1）"/>
      <w:lvlJc w:val="left"/>
      <w:rPr>
        <w:rFonts w:hint="eastAsia"/>
      </w:rPr>
    </w:lvl>
  </w:abstractNum>
  <w:abstractNum w:abstractNumId="1">
    <w:nsid w:val="C3F772C1"/>
    <w:multiLevelType w:val="singleLevel"/>
    <w:tmpl w:val="C3F772C1"/>
    <w:lvl w:ilvl="0" w:tentative="0">
      <w:start w:val="2"/>
      <w:numFmt w:val="decimal"/>
      <w:suff w:val="nothing"/>
      <w:lvlText w:val="（%1）"/>
      <w:lvlJc w:val="left"/>
    </w:lvl>
  </w:abstractNum>
  <w:abstractNum w:abstractNumId="2">
    <w:nsid w:val="1DCAC1D4"/>
    <w:multiLevelType w:val="singleLevel"/>
    <w:tmpl w:val="1DCAC1D4"/>
    <w:lvl w:ilvl="0" w:tentative="0">
      <w:start w:val="7"/>
      <w:numFmt w:val="decimal"/>
      <w:suff w:val="nothing"/>
      <w:lvlText w:val="（%1）"/>
      <w:lvlJc w:val="left"/>
    </w:lvl>
  </w:abstractNum>
  <w:abstractNum w:abstractNumId="3">
    <w:nsid w:val="3DF81AC0"/>
    <w:multiLevelType w:val="singleLevel"/>
    <w:tmpl w:val="3DF81AC0"/>
    <w:lvl w:ilvl="0" w:tentative="0">
      <w:start w:val="1"/>
      <w:numFmt w:val="chineseCounting"/>
      <w:suff w:val="nothing"/>
      <w:lvlText w:val="（%1）"/>
      <w:lvlJc w:val="left"/>
      <w:rPr>
        <w:rFonts w:hint="eastAsia"/>
      </w:rPr>
    </w:lvl>
  </w:abstractNum>
  <w:abstractNum w:abstractNumId="4">
    <w:nsid w:val="754D85B1"/>
    <w:multiLevelType w:val="singleLevel"/>
    <w:tmpl w:val="754D85B1"/>
    <w:lvl w:ilvl="0" w:tentative="0">
      <w:start w:val="12"/>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2720839"/>
    <w:rsid w:val="02753E85"/>
    <w:rsid w:val="03177A56"/>
    <w:rsid w:val="04233DA0"/>
    <w:rsid w:val="04EC54CB"/>
    <w:rsid w:val="0663336C"/>
    <w:rsid w:val="06AC0092"/>
    <w:rsid w:val="06E45A7E"/>
    <w:rsid w:val="09416162"/>
    <w:rsid w:val="09B43FF9"/>
    <w:rsid w:val="0A1E4E03"/>
    <w:rsid w:val="0ADC0749"/>
    <w:rsid w:val="0CBD0903"/>
    <w:rsid w:val="0D01736E"/>
    <w:rsid w:val="0DB37F58"/>
    <w:rsid w:val="0F1A5AFA"/>
    <w:rsid w:val="0FCB1589"/>
    <w:rsid w:val="0FDA7A1E"/>
    <w:rsid w:val="10BB0A1F"/>
    <w:rsid w:val="11A63974"/>
    <w:rsid w:val="12066789"/>
    <w:rsid w:val="125A6BF4"/>
    <w:rsid w:val="1283614B"/>
    <w:rsid w:val="13A75C09"/>
    <w:rsid w:val="13B81E24"/>
    <w:rsid w:val="13F6294C"/>
    <w:rsid w:val="14FC21E4"/>
    <w:rsid w:val="15145780"/>
    <w:rsid w:val="16B0772A"/>
    <w:rsid w:val="1740511A"/>
    <w:rsid w:val="17707188"/>
    <w:rsid w:val="18047D2E"/>
    <w:rsid w:val="19A20D60"/>
    <w:rsid w:val="1AB570BD"/>
    <w:rsid w:val="1B154000"/>
    <w:rsid w:val="1DCD471E"/>
    <w:rsid w:val="1ED95793"/>
    <w:rsid w:val="1FF72AAD"/>
    <w:rsid w:val="20A01302"/>
    <w:rsid w:val="21F901D7"/>
    <w:rsid w:val="24E0742D"/>
    <w:rsid w:val="25506360"/>
    <w:rsid w:val="27603981"/>
    <w:rsid w:val="28357A8F"/>
    <w:rsid w:val="28F17E5A"/>
    <w:rsid w:val="29476E56"/>
    <w:rsid w:val="2A9071FF"/>
    <w:rsid w:val="2A9767DF"/>
    <w:rsid w:val="2AE412F9"/>
    <w:rsid w:val="2C414C55"/>
    <w:rsid w:val="2C767EB5"/>
    <w:rsid w:val="30172037"/>
    <w:rsid w:val="31903F88"/>
    <w:rsid w:val="320A5AE9"/>
    <w:rsid w:val="32367FC3"/>
    <w:rsid w:val="324416AD"/>
    <w:rsid w:val="359D4D85"/>
    <w:rsid w:val="363870C8"/>
    <w:rsid w:val="36CD7AF4"/>
    <w:rsid w:val="383250E8"/>
    <w:rsid w:val="390D2369"/>
    <w:rsid w:val="3AB3120E"/>
    <w:rsid w:val="3B6C0CD4"/>
    <w:rsid w:val="3D112421"/>
    <w:rsid w:val="3DF53AF1"/>
    <w:rsid w:val="4093314D"/>
    <w:rsid w:val="42A87384"/>
    <w:rsid w:val="43C3698A"/>
    <w:rsid w:val="44676DCB"/>
    <w:rsid w:val="455410FD"/>
    <w:rsid w:val="49523BA5"/>
    <w:rsid w:val="4A6C0C97"/>
    <w:rsid w:val="4A9630E2"/>
    <w:rsid w:val="4C4F261E"/>
    <w:rsid w:val="50650662"/>
    <w:rsid w:val="50D47596"/>
    <w:rsid w:val="53393D05"/>
    <w:rsid w:val="55794BB0"/>
    <w:rsid w:val="55E16D18"/>
    <w:rsid w:val="568B4B9B"/>
    <w:rsid w:val="58CF5213"/>
    <w:rsid w:val="5B4812AC"/>
    <w:rsid w:val="5C5D0D87"/>
    <w:rsid w:val="5D6D6DA8"/>
    <w:rsid w:val="5F1B6A42"/>
    <w:rsid w:val="6018120A"/>
    <w:rsid w:val="611759A9"/>
    <w:rsid w:val="62EA0E9B"/>
    <w:rsid w:val="639A466F"/>
    <w:rsid w:val="63C94F54"/>
    <w:rsid w:val="64195594"/>
    <w:rsid w:val="66517824"/>
    <w:rsid w:val="67553A2B"/>
    <w:rsid w:val="67BC2E06"/>
    <w:rsid w:val="69870456"/>
    <w:rsid w:val="698A6F34"/>
    <w:rsid w:val="69B0699A"/>
    <w:rsid w:val="69E95A08"/>
    <w:rsid w:val="6C68355C"/>
    <w:rsid w:val="6CC73D5F"/>
    <w:rsid w:val="71D60F68"/>
    <w:rsid w:val="73165394"/>
    <w:rsid w:val="7386076C"/>
    <w:rsid w:val="755328D0"/>
    <w:rsid w:val="777F7F41"/>
    <w:rsid w:val="77BE1AB7"/>
    <w:rsid w:val="787A07E1"/>
    <w:rsid w:val="79650AA5"/>
    <w:rsid w:val="7B722A7F"/>
    <w:rsid w:val="7BA33820"/>
    <w:rsid w:val="7D224874"/>
    <w:rsid w:val="7D4476CE"/>
    <w:rsid w:val="7DC77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3575</Words>
  <Characters>4226</Characters>
  <Lines>46</Lines>
  <Paragraphs>13</Paragraphs>
  <TotalTime>6</TotalTime>
  <ScaleCrop>false</ScaleCrop>
  <LinksUpToDate>false</LinksUpToDate>
  <CharactersWithSpaces>4310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一山</cp:lastModifiedBy>
  <dcterms:modified xsi:type="dcterms:W3CDTF">2025-02-24T02:14:23Z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eyJoZGlkIjoiY2NhNGNhMzExZjVhYmQ0MDBkNWI0YjFmYmZjNjQyNjAiLCJ1c2VySWQiOiIyNTg4MjkwNzgifQ==</vt:lpwstr>
  </property>
  <property fmtid="{D5CDD505-2E9C-101B-9397-08002B2CF9AE}" pid="3" name="KSOProductBuildVer">
    <vt:lpwstr>2052-12.1.0.19770</vt:lpwstr>
  </property>
  <property fmtid="{D5CDD505-2E9C-101B-9397-08002B2CF9AE}" pid="4" name="ICV">
    <vt:lpwstr>5BB6635537CA4FC78240E849671B5DF7_12</vt:lpwstr>
  </property>
</Properties>
</file>