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F668">
      <w:pPr>
        <w:spacing w:line="560" w:lineRule="exact"/>
        <w:rPr>
          <w:rFonts w:hint="eastAsia" w:ascii="黑体" w:hAnsi="黑体" w:eastAsia="黑体" w:cs="黑体"/>
          <w:szCs w:val="32"/>
        </w:rPr>
      </w:pPr>
      <w:r>
        <w:rPr>
          <w:rFonts w:hint="eastAsia" w:ascii="黑体" w:hAnsi="黑体" w:eastAsia="黑体" w:cs="黑体"/>
          <w:szCs w:val="32"/>
        </w:rPr>
        <w:t>附件1-1</w:t>
      </w:r>
    </w:p>
    <w:p w14:paraId="7283BBBB"/>
    <w:p w14:paraId="0B272321"/>
    <w:p w14:paraId="043F73CA"/>
    <w:p w14:paraId="7A85818E"/>
    <w:p w14:paraId="18E5FDE1"/>
    <w:p w14:paraId="0CB60D64"/>
    <w:p w14:paraId="1F576D13"/>
    <w:p w14:paraId="066B2FD9"/>
    <w:p w14:paraId="08681B50">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淮北市食品药品检验中心</w:t>
      </w:r>
      <w:r>
        <w:rPr>
          <w:rFonts w:hint="eastAsia" w:ascii="宋体" w:hAnsi="宋体" w:eastAsia="宋体" w:cs="宋体"/>
          <w:b/>
          <w:sz w:val="44"/>
          <w:szCs w:val="44"/>
        </w:rPr>
        <w:t>2025年</w:t>
      </w:r>
    </w:p>
    <w:p w14:paraId="1F53865B">
      <w:pPr>
        <w:spacing w:line="560" w:lineRule="exact"/>
        <w:jc w:val="center"/>
        <w:rPr>
          <w:rFonts w:ascii="TimesNewRoman" w:hAnsi="TimesNewRoman" w:eastAsia="华文中宋" w:cs="TimesNewRoman"/>
          <w:b/>
          <w:sz w:val="44"/>
          <w:szCs w:val="44"/>
        </w:rPr>
      </w:pPr>
      <w:r>
        <w:rPr>
          <w:rFonts w:hint="eastAsia" w:ascii="宋体" w:hAnsi="宋体" w:eastAsia="宋体" w:cs="宋体"/>
          <w:b/>
          <w:sz w:val="44"/>
          <w:szCs w:val="44"/>
          <w:lang w:eastAsia="zh-CN"/>
        </w:rPr>
        <w:t>单位</w:t>
      </w:r>
      <w:r>
        <w:rPr>
          <w:rFonts w:hint="eastAsia" w:ascii="宋体" w:hAnsi="宋体" w:eastAsia="宋体" w:cs="宋体"/>
          <w:b/>
          <w:sz w:val="44"/>
          <w:szCs w:val="44"/>
        </w:rPr>
        <w:t>预算</w:t>
      </w:r>
    </w:p>
    <w:p w14:paraId="2E79887C"/>
    <w:p w14:paraId="5676DA14"/>
    <w:p w14:paraId="5A26E1E5"/>
    <w:p w14:paraId="07177AB1"/>
    <w:p w14:paraId="3E284653"/>
    <w:p w14:paraId="715595AA"/>
    <w:p w14:paraId="59B312BF"/>
    <w:p w14:paraId="1BEC2ACB"/>
    <w:p w14:paraId="7420830E"/>
    <w:p w14:paraId="3DBD090A"/>
    <w:p w14:paraId="2DD49972"/>
    <w:p w14:paraId="548F273B"/>
    <w:p w14:paraId="150482A0"/>
    <w:p w14:paraId="2BD38753"/>
    <w:p w14:paraId="6D979BC3"/>
    <w:p w14:paraId="2D6BFE74"/>
    <w:p w14:paraId="6B30D278"/>
    <w:p w14:paraId="534BC6F9"/>
    <w:p w14:paraId="4A2A0221"/>
    <w:p w14:paraId="2EC45C22"/>
    <w:p w14:paraId="7F68995A"/>
    <w:p w14:paraId="33040499"/>
    <w:p w14:paraId="76BC365A">
      <w:pPr>
        <w:pStyle w:val="4"/>
        <w:adjustRightInd w:val="0"/>
        <w:snapToGrid w:val="0"/>
        <w:spacing w:line="560" w:lineRule="exact"/>
        <w:jc w:val="center"/>
        <w:rPr>
          <w:rFonts w:ascii="TimesNewRoman" w:hAnsi="TimesNewRoman" w:eastAsia="黑体" w:cs="TimesNewRoman"/>
          <w:bCs/>
          <w:sz w:val="44"/>
          <w:szCs w:val="44"/>
        </w:rPr>
      </w:pPr>
    </w:p>
    <w:p w14:paraId="08700111">
      <w:pPr>
        <w:pStyle w:val="4"/>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1139AEC2"/>
    <w:p w14:paraId="76E9DC52"/>
    <w:p w14:paraId="65F5ADA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9208BDB"/>
    <w:p w14:paraId="3899243B">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1FEE237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543FE4C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预算构成</w:t>
      </w:r>
    </w:p>
    <w:p w14:paraId="4265EB3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01A2804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预算表</w:t>
      </w:r>
    </w:p>
    <w:p w14:paraId="1C70F6B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2025年收支总表</w:t>
      </w:r>
    </w:p>
    <w:p w14:paraId="794658A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2025年收入总表</w:t>
      </w:r>
    </w:p>
    <w:p w14:paraId="7A52935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2025年支出总表</w:t>
      </w:r>
    </w:p>
    <w:p w14:paraId="0C27139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2025年财政拨款收支总表</w:t>
      </w:r>
    </w:p>
    <w:p w14:paraId="7CDF5F2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2025年一般公共预算支出表</w:t>
      </w:r>
    </w:p>
    <w:p w14:paraId="5C02A5B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2025年一般公共预算基本支出表</w:t>
      </w:r>
    </w:p>
    <w:p w14:paraId="205319C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2025年政府性基金预算支出表</w:t>
      </w:r>
    </w:p>
    <w:p w14:paraId="56ADC32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2025年国有资本经营预算支出表</w:t>
      </w:r>
    </w:p>
    <w:p w14:paraId="7FAAA95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2025年项目支出表</w:t>
      </w:r>
    </w:p>
    <w:p w14:paraId="108FE27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2025年政府采购支出表</w:t>
      </w:r>
    </w:p>
    <w:p w14:paraId="70F3B63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2025年政府购买服务支出表</w:t>
      </w:r>
    </w:p>
    <w:p w14:paraId="3A2811A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2025年通用资产配置支出表</w:t>
      </w:r>
    </w:p>
    <w:p w14:paraId="0447C3CE">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第三部分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预算情况说明</w:t>
      </w:r>
    </w:p>
    <w:p w14:paraId="72A98BC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30422AD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7503AD5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1BA5392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09ECBE2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34A95AD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A2087B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1150EE5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3F62051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0470395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75E535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7CDD038C">
      <w:pPr>
        <w:pStyle w:val="4"/>
        <w:adjustRightInd w:val="0"/>
        <w:snapToGrid w:val="0"/>
        <w:spacing w:line="400" w:lineRule="exact"/>
        <w:ind w:firstLine="800" w:firstLineChars="25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12、关于2025年通用资产配置支出表的说明</w:t>
      </w:r>
    </w:p>
    <w:p w14:paraId="4A47D8E1">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、其他重要事项情况说明</w:t>
      </w:r>
    </w:p>
    <w:p w14:paraId="1035D58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第四部分 名词解释</w:t>
      </w:r>
    </w:p>
    <w:p w14:paraId="77164185">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63B7E21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预算纳入绩效考评项目表</w:t>
      </w:r>
    </w:p>
    <w:p w14:paraId="427B51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淮北市食品药品检验中心</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预算专项资金管理清单（专栏公开）</w:t>
      </w:r>
    </w:p>
    <w:p w14:paraId="05ECDCDB">
      <w:pPr>
        <w:pStyle w:val="4"/>
        <w:adjustRightInd w:val="0"/>
        <w:snapToGrid w:val="0"/>
        <w:spacing w:line="400" w:lineRule="exact"/>
        <w:ind w:firstLine="800" w:firstLineChars="250"/>
        <w:rPr>
          <w:rFonts w:ascii="TimesNewRoman" w:hAnsi="TimesNewRoman" w:eastAsia="仿宋_GB2312" w:cs="TimesNewRoman"/>
          <w:bCs/>
          <w:sz w:val="32"/>
          <w:szCs w:val="32"/>
        </w:rPr>
      </w:pPr>
    </w:p>
    <w:p w14:paraId="4B27F4D1">
      <w:pPr>
        <w:pStyle w:val="4"/>
        <w:adjustRightInd w:val="0"/>
        <w:snapToGrid w:val="0"/>
        <w:spacing w:line="560" w:lineRule="exact"/>
        <w:jc w:val="center"/>
        <w:rPr>
          <w:rFonts w:hint="eastAsia" w:ascii="TimesNewRoman" w:hAnsi="TimesNewRoman" w:eastAsia="黑体" w:cs="TimesNewRoman"/>
          <w:bCs/>
          <w:sz w:val="36"/>
          <w:szCs w:val="36"/>
        </w:rPr>
      </w:pPr>
    </w:p>
    <w:p w14:paraId="6AAA9CEE">
      <w:pPr>
        <w:pStyle w:val="4"/>
        <w:adjustRightInd w:val="0"/>
        <w:snapToGrid w:val="0"/>
        <w:spacing w:line="560" w:lineRule="exact"/>
        <w:jc w:val="center"/>
        <w:rPr>
          <w:rFonts w:hint="eastAsia" w:ascii="TimesNewRoman" w:hAnsi="TimesNewRoman" w:eastAsia="黑体" w:cs="TimesNewRoman"/>
          <w:bCs/>
          <w:sz w:val="36"/>
          <w:szCs w:val="36"/>
        </w:rPr>
      </w:pPr>
    </w:p>
    <w:p w14:paraId="40724D2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2899FA09"/>
    <w:p w14:paraId="6C9240F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7727BC6">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FangSong_GB2312" w:hAnsi="仿宋" w:eastAsia="FangSong_GB2312" w:cs="仿宋"/>
          <w:sz w:val="32"/>
          <w:szCs w:val="32"/>
        </w:rPr>
        <w:t>市食品药品检验中心统一承担全市食品药品检验检测相关技术服务工作</w:t>
      </w:r>
      <w:r>
        <w:rPr>
          <w:rFonts w:hint="eastAsia" w:ascii="FangSong_GB2312" w:hAnsi="仿宋" w:eastAsia="FangSong_GB2312" w:cs="仿宋"/>
          <w:sz w:val="32"/>
          <w:szCs w:val="32"/>
          <w:lang w:eastAsia="zh-CN"/>
        </w:rPr>
        <w:t>，涉及</w:t>
      </w:r>
      <w:r>
        <w:rPr>
          <w:rFonts w:hint="eastAsia" w:ascii="FangSong_GB2312" w:hAnsi="仿宋" w:eastAsia="FangSong_GB2312" w:cs="仿宋"/>
          <w:sz w:val="32"/>
          <w:szCs w:val="32"/>
        </w:rPr>
        <w:t>药品监督检验</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餐饮服务环节食品</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保健食品</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化妆品的质量检测</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药品不良反应监测和医疗器械不良反应监测的相关工作</w:t>
      </w:r>
      <w:r>
        <w:rPr>
          <w:rFonts w:hint="eastAsia" w:ascii="TimesNewRoman" w:hAnsi="TimesNewRoman" w:eastAsia="仿宋_GB2312" w:cs="TimesNewRoman"/>
          <w:bCs/>
          <w:sz w:val="32"/>
          <w:szCs w:val="32"/>
        </w:rPr>
        <w:t>。</w:t>
      </w:r>
      <w:r>
        <w:rPr>
          <w:rFonts w:hint="eastAsia" w:ascii="FangSong_GB2312" w:hAnsi="FangSong_GB2312" w:eastAsia="FangSong_GB2312" w:cs="FangSong_GB2312"/>
          <w:bCs/>
          <w:sz w:val="32"/>
          <w:szCs w:val="32"/>
          <w:lang w:val="en-US" w:eastAsia="zh-CN"/>
        </w:rPr>
        <w:t>加挂安徽省药品监督管理局药品核查淮北分中心牌子，承担配合省药品核查中心开展对辖区内行政相对人的审评查验职责</w:t>
      </w:r>
      <w:r>
        <w:rPr>
          <w:rFonts w:hint="eastAsia" w:ascii="TimesNewRoman" w:hAnsi="TimesNewRoman" w:eastAsia="仿宋_GB2312" w:cs="TimesNewRoman"/>
          <w:bCs/>
          <w:sz w:val="32"/>
          <w:szCs w:val="32"/>
        </w:rPr>
        <w:t>。</w:t>
      </w:r>
    </w:p>
    <w:p w14:paraId="5D5126A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5FCAFF5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lang w:eastAsia="zh-CN"/>
        </w:rPr>
        <w:t>淮北市食品药品检验中心</w:t>
      </w:r>
      <w:r>
        <w:rPr>
          <w:rFonts w:hint="eastAsia" w:ascii="仿宋" w:hAnsi="仿宋" w:eastAsia="仿宋" w:cs="仿宋"/>
          <w:sz w:val="32"/>
          <w:szCs w:val="32"/>
        </w:rPr>
        <w:t>2025年度</w:t>
      </w:r>
      <w:r>
        <w:rPr>
          <w:rFonts w:hint="eastAsia" w:ascii="仿宋" w:hAnsi="仿宋" w:eastAsia="仿宋" w:cs="仿宋"/>
          <w:sz w:val="32"/>
          <w:szCs w:val="32"/>
          <w:lang w:eastAsia="zh-CN"/>
        </w:rPr>
        <w:t>单位</w:t>
      </w:r>
      <w:r>
        <w:rPr>
          <w:rFonts w:hint="eastAsia" w:ascii="仿宋" w:hAnsi="仿宋" w:eastAsia="仿宋" w:cs="仿宋"/>
          <w:sz w:val="32"/>
          <w:szCs w:val="32"/>
        </w:rPr>
        <w:t>预算仅包括本级预算，无其他下属单位预算</w:t>
      </w:r>
      <w:r>
        <w:rPr>
          <w:rFonts w:hint="eastAsia" w:ascii="TimesNewRoman" w:hAnsi="TimesNewRoman" w:eastAsia="仿宋_GB2312" w:cs="TimesNewRoman"/>
          <w:sz w:val="32"/>
          <w:szCs w:val="32"/>
        </w:rPr>
        <w:t>。</w:t>
      </w:r>
    </w:p>
    <w:p w14:paraId="144A7A4A">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三、2025年度主要工作任务</w:t>
      </w:r>
    </w:p>
    <w:p w14:paraId="24817D35">
      <w:pPr>
        <w:pStyle w:val="4"/>
        <w:adjustRightInd w:val="0"/>
        <w:snapToGrid w:val="0"/>
        <w:spacing w:line="56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（一）药品</w:t>
      </w:r>
      <w:r>
        <w:rPr>
          <w:rFonts w:hint="eastAsia" w:ascii="仿宋" w:hAnsi="仿宋" w:eastAsia="仿宋" w:cs="仿宋"/>
          <w:bCs/>
          <w:sz w:val="32"/>
          <w:szCs w:val="32"/>
          <w:lang w:eastAsia="zh-CN"/>
        </w:rPr>
        <w:t>抽检</w:t>
      </w:r>
      <w:r>
        <w:rPr>
          <w:rFonts w:hint="eastAsia" w:ascii="仿宋" w:hAnsi="仿宋" w:eastAsia="仿宋" w:cs="仿宋"/>
          <w:bCs/>
          <w:sz w:val="32"/>
          <w:szCs w:val="32"/>
        </w:rPr>
        <w:t>工作：参照《安徽省药品监督管理局关于印发省级药品医疗器械化妆品监督抽检工作计划的通知》要求，按计划完成药品日常监督流通环节抽样和基本药物和高风险药品抽样</w:t>
      </w:r>
      <w:r>
        <w:rPr>
          <w:rFonts w:hint="eastAsia" w:ascii="仿宋" w:hAnsi="仿宋" w:eastAsia="仿宋" w:cs="仿宋"/>
          <w:bCs/>
          <w:sz w:val="32"/>
          <w:szCs w:val="32"/>
          <w:lang w:eastAsia="zh-CN"/>
        </w:rPr>
        <w:t>。</w:t>
      </w:r>
      <w:r>
        <w:rPr>
          <w:rFonts w:hint="eastAsia" w:ascii="仿宋" w:hAnsi="仿宋" w:eastAsia="仿宋" w:cs="仿宋"/>
          <w:bCs/>
          <w:sz w:val="32"/>
          <w:szCs w:val="32"/>
        </w:rPr>
        <w:t>药品检验工作：拟完成约4</w:t>
      </w:r>
      <w:r>
        <w:rPr>
          <w:rFonts w:hint="eastAsia" w:ascii="仿宋" w:hAnsi="仿宋" w:eastAsia="仿宋" w:cs="仿宋"/>
          <w:bCs/>
          <w:sz w:val="32"/>
          <w:szCs w:val="32"/>
          <w:lang w:val="en-US" w:eastAsia="zh-CN"/>
        </w:rPr>
        <w:t>4</w:t>
      </w:r>
      <w:r>
        <w:rPr>
          <w:rFonts w:hint="eastAsia" w:ascii="仿宋" w:hAnsi="仿宋" w:eastAsia="仿宋" w:cs="仿宋"/>
          <w:bCs/>
          <w:sz w:val="32"/>
          <w:szCs w:val="32"/>
        </w:rPr>
        <w:t>0批药品检验工作</w:t>
      </w:r>
      <w:r>
        <w:rPr>
          <w:rFonts w:hint="eastAsia" w:ascii="仿宋" w:hAnsi="仿宋" w:eastAsia="仿宋" w:cs="仿宋"/>
          <w:bCs/>
          <w:sz w:val="32"/>
          <w:szCs w:val="32"/>
          <w:lang w:eastAsia="zh-CN"/>
        </w:rPr>
        <w:t>；</w:t>
      </w:r>
      <w:r>
        <w:rPr>
          <w:rFonts w:hint="eastAsia" w:ascii="仿宋" w:hAnsi="仿宋" w:eastAsia="仿宋" w:cs="仿宋"/>
          <w:bCs/>
          <w:sz w:val="32"/>
          <w:szCs w:val="32"/>
        </w:rPr>
        <w:t>食品检验</w:t>
      </w:r>
      <w:r>
        <w:rPr>
          <w:rFonts w:hint="eastAsia" w:ascii="仿宋" w:hAnsi="仿宋" w:eastAsia="仿宋" w:cs="仿宋"/>
          <w:bCs/>
          <w:sz w:val="32"/>
          <w:szCs w:val="32"/>
          <w:lang w:eastAsia="zh-CN"/>
        </w:rPr>
        <w:t>按市局下达任务完成；</w:t>
      </w:r>
      <w:r>
        <w:rPr>
          <w:rFonts w:hint="eastAsia" w:ascii="仿宋" w:hAnsi="仿宋" w:eastAsia="仿宋" w:cs="仿宋"/>
          <w:bCs/>
          <w:sz w:val="32"/>
          <w:szCs w:val="32"/>
        </w:rPr>
        <w:t>不良反应监测任务：拟完成报告数不低于1100份/百万人；医疗器械不良事件报告数不低于300份/百万人；化妆品不良反应报告数不低于150份/百万人。</w:t>
      </w:r>
    </w:p>
    <w:p w14:paraId="556A7B34">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仿宋" w:hAnsi="仿宋" w:eastAsia="仿宋" w:cs="仿宋"/>
          <w:bCs/>
          <w:sz w:val="32"/>
          <w:szCs w:val="32"/>
        </w:rPr>
        <w:t>（二）配合市局行政许可科开展验收药品零售企业和医疗器械经营企业</w:t>
      </w:r>
      <w:r>
        <w:rPr>
          <w:rFonts w:hint="eastAsia" w:ascii="仿宋" w:hAnsi="仿宋" w:eastAsia="仿宋" w:cs="仿宋"/>
          <w:bCs/>
          <w:sz w:val="32"/>
          <w:szCs w:val="32"/>
          <w:lang w:eastAsia="zh-CN"/>
        </w:rPr>
        <w:t>，配合市局食品生产科、特食科、认评科开展食品生产企业检查，配合省药监局中药和化妆品监管处、许可注册处的“双随机”检查、飞行检查等工作，配合省中心组织的药品不良反应、医疗器械不良事件、化妆品不良反应病例报告质量评估工作，配合省中心组织的药品不良反应、医疗器械不良事件、化妆品不良反应病例报告质量评估工作，配合省药监局第四分局开展飞行检验、企业技术服务等各项工作</w:t>
      </w:r>
      <w:r>
        <w:rPr>
          <w:rFonts w:hint="eastAsia" w:ascii="仿宋" w:hAnsi="仿宋" w:eastAsia="仿宋" w:cs="仿宋"/>
          <w:bCs/>
          <w:sz w:val="32"/>
          <w:szCs w:val="32"/>
        </w:rPr>
        <w:t>。</w:t>
      </w:r>
    </w:p>
    <w:p w14:paraId="00C41BDB"/>
    <w:p w14:paraId="6979C8CA">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436B32E3">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仿宋" w:hAnsi="仿宋" w:eastAsia="仿宋" w:cs="仿宋"/>
          <w:bCs/>
          <w:sz w:val="32"/>
          <w:szCs w:val="32"/>
        </w:rPr>
        <w:t>见附件1-2</w:t>
      </w:r>
    </w:p>
    <w:p w14:paraId="2A94F709">
      <w:r>
        <w:t xml:space="preserve">                                        </w:t>
      </w:r>
    </w:p>
    <w:p w14:paraId="1FDBB549">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23FFDFE9"/>
    <w:p w14:paraId="3329169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一、关于2025年收支总表的说明</w:t>
      </w:r>
    </w:p>
    <w:p w14:paraId="659DFF7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淮北市食品药品检验中心</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淮北市食品药品检验中心</w:t>
      </w:r>
      <w:r>
        <w:rPr>
          <w:rFonts w:hint="eastAsia" w:ascii="仿宋" w:hAnsi="仿宋" w:eastAsia="仿宋" w:cs="仿宋"/>
          <w:sz w:val="32"/>
          <w:szCs w:val="32"/>
        </w:rPr>
        <w:t>2025年收支总预算</w:t>
      </w:r>
      <w:r>
        <w:rPr>
          <w:rFonts w:hint="eastAsia" w:ascii="仿宋" w:hAnsi="仿宋" w:eastAsia="仿宋" w:cs="仿宋"/>
          <w:sz w:val="32"/>
          <w:szCs w:val="32"/>
          <w:lang w:val="en-US" w:eastAsia="zh-CN"/>
        </w:rPr>
        <w:t>670.25</w:t>
      </w:r>
      <w:r>
        <w:rPr>
          <w:rFonts w:hint="eastAsia" w:ascii="仿宋" w:hAnsi="仿宋" w:eastAsia="仿宋" w:cs="仿宋"/>
          <w:sz w:val="32"/>
          <w:szCs w:val="32"/>
        </w:rPr>
        <w:t>万元，收入</w:t>
      </w:r>
      <w:r>
        <w:rPr>
          <w:rFonts w:hint="eastAsia" w:ascii="仿宋" w:hAnsi="仿宋" w:eastAsia="仿宋" w:cs="仿宋"/>
          <w:sz w:val="32"/>
          <w:szCs w:val="32"/>
          <w:lang w:val="en-US" w:eastAsia="zh-CN"/>
        </w:rPr>
        <w:t>全部是</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670.25万元</w:t>
      </w:r>
      <w:r>
        <w:rPr>
          <w:rFonts w:hint="eastAsia" w:ascii="仿宋" w:hAnsi="仿宋" w:eastAsia="仿宋" w:cs="仿宋"/>
          <w:sz w:val="32"/>
          <w:szCs w:val="32"/>
        </w:rPr>
        <w:t>，支出包括：一般公共服务支出、社会保障和就业支出、卫生健康支出、住房保障支出</w:t>
      </w:r>
      <w:r>
        <w:rPr>
          <w:rFonts w:hint="eastAsia" w:ascii="TimesNewRoman" w:hAnsi="TimesNewRoman" w:eastAsia="仿宋_GB2312" w:cs="TimesNewRoman"/>
          <w:sz w:val="32"/>
          <w:szCs w:val="32"/>
        </w:rPr>
        <w:t>。</w:t>
      </w:r>
    </w:p>
    <w:p w14:paraId="1EFC841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二、关于2025年收入总表的说明</w:t>
      </w:r>
    </w:p>
    <w:p w14:paraId="33F00F1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2025年收入预算</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万元，其中，本年收入</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w:t>
      </w:r>
    </w:p>
    <w:p w14:paraId="38AB9099">
      <w:pPr>
        <w:ind w:firstLine="643" w:firstLineChars="200"/>
        <w:rPr>
          <w:rFonts w:ascii="TimesNewRoman" w:hAnsi="TimesNewRoman" w:eastAsia="仿宋_GB2312" w:cs="TimesNewRoman"/>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val="en-US" w:eastAsia="zh-CN"/>
        </w:rPr>
        <w:t>670.25</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%，比2024年预算减少</w:t>
      </w:r>
      <w:r>
        <w:rPr>
          <w:rFonts w:hint="eastAsia" w:ascii="仿宋" w:hAnsi="仿宋" w:eastAsia="仿宋" w:cs="仿宋"/>
          <w:kern w:val="0"/>
          <w:sz w:val="32"/>
          <w:szCs w:val="32"/>
          <w:lang w:val="en-US" w:eastAsia="zh-CN"/>
        </w:rPr>
        <w:t>13.89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人员变动及压减项目经费</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本单位2024年及2025年度均未安排政府性基金预算</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本单位2024年及2025年度均未安排财政专户管理资金</w:t>
      </w:r>
      <w:r>
        <w:rPr>
          <w:rFonts w:hint="eastAsia" w:ascii="仿宋" w:hAnsi="仿宋" w:eastAsia="仿宋" w:cs="仿宋"/>
          <w:kern w:val="0"/>
          <w:sz w:val="32"/>
          <w:szCs w:val="32"/>
        </w:rPr>
        <w:t>。</w:t>
      </w:r>
    </w:p>
    <w:p w14:paraId="7760F5F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三、关于2025年支出总表的说明</w:t>
      </w:r>
    </w:p>
    <w:p w14:paraId="6DFAD25F">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2025年支出预算</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13.89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人员变动及压减项目经费</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638.25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95.23</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4.77</w:t>
      </w:r>
      <w:r>
        <w:rPr>
          <w:rFonts w:hint="eastAsia" w:ascii="仿宋" w:hAnsi="仿宋" w:eastAsia="仿宋" w:cs="仿宋"/>
          <w:kern w:val="0"/>
          <w:sz w:val="32"/>
          <w:szCs w:val="32"/>
        </w:rPr>
        <w:t>%，主要用于药品检验检测能力建设提</w:t>
      </w:r>
      <w:r>
        <w:rPr>
          <w:rFonts w:hint="eastAsia" w:ascii="仿宋" w:hAnsi="仿宋" w:eastAsia="仿宋" w:cs="仿宋"/>
          <w:kern w:val="0"/>
          <w:sz w:val="32"/>
          <w:szCs w:val="32"/>
          <w:lang w:val="en-US" w:eastAsia="zh-CN"/>
        </w:rPr>
        <w:t>升和聘用人员劳务费</w:t>
      </w:r>
      <w:r>
        <w:rPr>
          <w:rFonts w:hint="eastAsia" w:ascii="TimesNewRoman" w:hAnsi="TimesNewRoman" w:eastAsia="仿宋_GB2312" w:cs="TimesNewRoman"/>
          <w:kern w:val="0"/>
          <w:sz w:val="32"/>
          <w:szCs w:val="32"/>
        </w:rPr>
        <w:t>。</w:t>
      </w:r>
    </w:p>
    <w:p w14:paraId="52AE6E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四、关于2025年财政拨款收支总表的说明</w:t>
      </w:r>
    </w:p>
    <w:p w14:paraId="45C7E0C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万元。支出按功能分类分为：一般公共服务支出</w:t>
      </w:r>
      <w:r>
        <w:rPr>
          <w:rFonts w:hint="eastAsia" w:ascii="仿宋" w:hAnsi="仿宋" w:eastAsia="仿宋" w:cs="仿宋"/>
          <w:kern w:val="0"/>
          <w:sz w:val="32"/>
          <w:szCs w:val="32"/>
          <w:lang w:val="en-US" w:eastAsia="zh-CN"/>
        </w:rPr>
        <w:t>444.77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66.36</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112.89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16.84</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25.93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3.87</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86.66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12.93</w:t>
      </w:r>
      <w:r>
        <w:rPr>
          <w:rFonts w:hint="eastAsia" w:ascii="仿宋" w:hAnsi="仿宋" w:eastAsia="仿宋" w:cs="仿宋"/>
          <w:kern w:val="0"/>
          <w:sz w:val="32"/>
          <w:szCs w:val="32"/>
        </w:rPr>
        <w:t>%。</w:t>
      </w:r>
    </w:p>
    <w:p w14:paraId="38D570D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五、关于2025年一般公共预算支出表的说明</w:t>
      </w:r>
    </w:p>
    <w:p w14:paraId="30A9943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2CD79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val="en-US" w:eastAsia="zh-CN"/>
        </w:rPr>
        <w:t>670.25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13.89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2.03</w:t>
      </w:r>
      <w:r>
        <w:rPr>
          <w:rFonts w:hint="eastAsia" w:ascii="仿宋" w:hAnsi="仿宋" w:eastAsia="仿宋" w:cs="仿宋"/>
          <w:kern w:val="0"/>
          <w:sz w:val="32"/>
          <w:szCs w:val="32"/>
        </w:rPr>
        <w:t>%，主要原因：一是</w:t>
      </w:r>
      <w:r>
        <w:rPr>
          <w:rFonts w:hint="eastAsia" w:ascii="仿宋" w:hAnsi="仿宋" w:eastAsia="仿宋" w:cs="仿宋"/>
          <w:kern w:val="0"/>
          <w:sz w:val="32"/>
          <w:szCs w:val="32"/>
          <w:lang w:val="en-US" w:eastAsia="zh-CN"/>
        </w:rPr>
        <w:t>人员信息变动基本支出减少</w:t>
      </w:r>
      <w:r>
        <w:rPr>
          <w:rFonts w:hint="eastAsia" w:ascii="仿宋" w:hAnsi="仿宋" w:eastAsia="仿宋" w:cs="仿宋"/>
          <w:kern w:val="0"/>
          <w:sz w:val="32"/>
          <w:szCs w:val="32"/>
        </w:rPr>
        <w:t>；二是</w:t>
      </w:r>
      <w:r>
        <w:rPr>
          <w:rFonts w:hint="eastAsia" w:ascii="仿宋" w:hAnsi="仿宋" w:eastAsia="仿宋" w:cs="仿宋"/>
          <w:kern w:val="0"/>
          <w:sz w:val="32"/>
          <w:szCs w:val="32"/>
          <w:lang w:val="en-US" w:eastAsia="zh-CN"/>
        </w:rPr>
        <w:t>压减项目经费</w:t>
      </w:r>
      <w:r>
        <w:rPr>
          <w:rFonts w:hint="eastAsia" w:ascii="TimesNewRoman" w:hAnsi="TimesNewRoman" w:eastAsia="仿宋_GB2312" w:cs="TimesNewRoman"/>
          <w:kern w:val="0"/>
          <w:sz w:val="32"/>
          <w:szCs w:val="32"/>
        </w:rPr>
        <w:t>。</w:t>
      </w:r>
    </w:p>
    <w:p w14:paraId="56B38C1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A1C5256">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444.77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66.36</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112.89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16.84</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25.93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3.87</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86.66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12.93</w:t>
      </w:r>
      <w:r>
        <w:rPr>
          <w:rFonts w:hint="eastAsia" w:ascii="仿宋" w:hAnsi="仿宋" w:eastAsia="仿宋" w:cs="仿宋"/>
          <w:kern w:val="0"/>
          <w:sz w:val="32"/>
          <w:szCs w:val="32"/>
        </w:rPr>
        <w:t>%</w:t>
      </w:r>
      <w:r>
        <w:rPr>
          <w:rFonts w:hint="eastAsia" w:ascii="TimesNewRoman" w:hAnsi="TimesNewRoman" w:eastAsia="仿宋_GB2312" w:cs="TimesNewRoman"/>
          <w:kern w:val="0"/>
          <w:sz w:val="32"/>
          <w:szCs w:val="32"/>
        </w:rPr>
        <w:t>。</w:t>
      </w:r>
    </w:p>
    <w:p w14:paraId="6D517B6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EF6F1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1、一般公共服务支出（类）市场监督管理事务（款）事业运行（项）2025年预算</w:t>
      </w:r>
      <w:r>
        <w:rPr>
          <w:rFonts w:hint="eastAsia" w:ascii="仿宋" w:hAnsi="仿宋" w:eastAsia="仿宋" w:cs="仿宋"/>
          <w:kern w:val="0"/>
          <w:sz w:val="32"/>
          <w:szCs w:val="32"/>
          <w:lang w:val="en-US" w:eastAsia="zh-CN"/>
        </w:rPr>
        <w:t>412.77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0.75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0.18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人员信息变动</w:t>
      </w:r>
      <w:r>
        <w:rPr>
          <w:rFonts w:hint="eastAsia" w:ascii="仿宋" w:hAnsi="仿宋" w:eastAsia="仿宋" w:cs="仿宋"/>
          <w:kern w:val="0"/>
          <w:sz w:val="32"/>
          <w:szCs w:val="32"/>
        </w:rPr>
        <w:t>。</w:t>
      </w:r>
    </w:p>
    <w:p w14:paraId="1929955A">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一般公共服务支出（类）市场监督管理事务（款）药品事务（项）2025年预算</w:t>
      </w:r>
      <w:r>
        <w:rPr>
          <w:rFonts w:hint="eastAsia" w:ascii="仿宋" w:hAnsi="仿宋" w:eastAsia="仿宋" w:cs="仿宋"/>
          <w:kern w:val="0"/>
          <w:sz w:val="32"/>
          <w:szCs w:val="32"/>
          <w:lang w:val="en-US" w:eastAsia="zh-CN"/>
        </w:rPr>
        <w:t>49.04</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49.04</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此项科目为2024年度省厅直达资金结余</w:t>
      </w:r>
      <w:r>
        <w:rPr>
          <w:rFonts w:hint="eastAsia" w:ascii="仿宋" w:hAnsi="仿宋" w:eastAsia="仿宋" w:cs="仿宋"/>
          <w:kern w:val="0"/>
          <w:sz w:val="32"/>
          <w:szCs w:val="32"/>
          <w:lang w:eastAsia="zh-CN"/>
        </w:rPr>
        <w:t>。</w:t>
      </w:r>
    </w:p>
    <w:p w14:paraId="4FAED249">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、一般公共服务支出（类）市场监督管理事务（款）一般行政管理事务（项）2025年预算</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按要求压减项目经费</w:t>
      </w:r>
      <w:r>
        <w:rPr>
          <w:rFonts w:hint="eastAsia" w:ascii="仿宋" w:hAnsi="仿宋" w:eastAsia="仿宋" w:cs="仿宋"/>
          <w:kern w:val="0"/>
          <w:sz w:val="32"/>
          <w:szCs w:val="32"/>
        </w:rPr>
        <w:t>。</w:t>
      </w:r>
    </w:p>
    <w:p w14:paraId="17E27A2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、社会保障和就业支出（类）行政事业单位养老支出（款）事业单位离退休（项）2025年预算</w:t>
      </w:r>
      <w:r>
        <w:rPr>
          <w:rFonts w:hint="eastAsia" w:ascii="仿宋" w:hAnsi="仿宋" w:eastAsia="仿宋" w:cs="仿宋"/>
          <w:kern w:val="0"/>
          <w:sz w:val="32"/>
          <w:szCs w:val="32"/>
          <w:lang w:val="en-US" w:eastAsia="zh-CN"/>
        </w:rPr>
        <w:t>26.52</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0.36</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1.38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退休人员基数调整</w:t>
      </w:r>
      <w:r>
        <w:rPr>
          <w:rFonts w:hint="eastAsia" w:ascii="仿宋" w:hAnsi="仿宋" w:eastAsia="仿宋" w:cs="仿宋"/>
          <w:kern w:val="0"/>
          <w:sz w:val="32"/>
          <w:szCs w:val="32"/>
        </w:rPr>
        <w:t>。</w:t>
      </w:r>
    </w:p>
    <w:p w14:paraId="6D2CD5F0">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社会保障和就业支出（类）行政事业单位养老支出（款）机关事业单位基本养老保险缴费支出（项）2025年预算</w:t>
      </w:r>
      <w:r>
        <w:rPr>
          <w:rFonts w:hint="eastAsia" w:ascii="仿宋" w:hAnsi="仿宋" w:eastAsia="仿宋" w:cs="仿宋"/>
          <w:kern w:val="0"/>
          <w:sz w:val="32"/>
          <w:szCs w:val="32"/>
          <w:lang w:val="en-US" w:eastAsia="zh-CN"/>
        </w:rPr>
        <w:t>56.4</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0.46</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0.81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12BC6B34">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社会保障和就业支出（类）行政事业单位养老支出（款）机关事业单位职业年金缴费支出（项）2025年预算</w:t>
      </w:r>
      <w:r>
        <w:rPr>
          <w:rFonts w:hint="eastAsia" w:ascii="仿宋" w:hAnsi="仿宋" w:eastAsia="仿宋" w:cs="仿宋"/>
          <w:kern w:val="0"/>
          <w:sz w:val="32"/>
          <w:szCs w:val="32"/>
          <w:lang w:val="en-US" w:eastAsia="zh-CN"/>
        </w:rPr>
        <w:t>28.2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0.23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0.81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1EE20481">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社会保障和就业支出（类）其他社会保障和就业支出（款）其他社会保障和就业支出（项）2025年预算</w:t>
      </w:r>
      <w:r>
        <w:rPr>
          <w:rFonts w:hint="eastAsia" w:ascii="仿宋" w:hAnsi="仿宋" w:eastAsia="仿宋" w:cs="仿宋"/>
          <w:kern w:val="0"/>
          <w:sz w:val="32"/>
          <w:szCs w:val="32"/>
          <w:lang w:val="en-US" w:eastAsia="zh-CN"/>
        </w:rPr>
        <w:t>1.78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0.56</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4EAFBD9E">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卫生健康支出（类）行政事业单位医疗（款）事业单位医疗（项）2025年预算</w:t>
      </w:r>
      <w:r>
        <w:rPr>
          <w:rFonts w:hint="eastAsia" w:ascii="仿宋" w:hAnsi="仿宋" w:eastAsia="仿宋" w:cs="仿宋"/>
          <w:kern w:val="0"/>
          <w:sz w:val="32"/>
          <w:szCs w:val="32"/>
          <w:lang w:val="en-US" w:eastAsia="zh-CN"/>
        </w:rPr>
        <w:t>18.31</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3.17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14.76</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29AFD4EE">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卫生健康支出（类）行政事业单位医疗（款）公务员医疗补助（项）2025年预算</w:t>
      </w:r>
      <w:r>
        <w:rPr>
          <w:rFonts w:hint="eastAsia" w:ascii="仿宋" w:hAnsi="仿宋" w:eastAsia="仿宋" w:cs="仿宋"/>
          <w:kern w:val="0"/>
          <w:sz w:val="32"/>
          <w:szCs w:val="32"/>
          <w:lang w:val="en-US" w:eastAsia="zh-CN"/>
        </w:rPr>
        <w:t>7.63</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0.04</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0.52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150E067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、住房保障支出（类）住房改革支出（款）住房公积金（项）2025年预算</w:t>
      </w:r>
      <w:r>
        <w:rPr>
          <w:rFonts w:hint="eastAsia" w:ascii="仿宋" w:hAnsi="仿宋" w:eastAsia="仿宋" w:cs="仿宋"/>
          <w:kern w:val="0"/>
          <w:sz w:val="32"/>
          <w:szCs w:val="32"/>
          <w:lang w:val="en-US" w:eastAsia="zh-CN"/>
        </w:rPr>
        <w:t>52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2.74</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rPr>
        <w:t>。</w:t>
      </w:r>
    </w:p>
    <w:p w14:paraId="23FCBBAB">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住房保障支出（类）住房改革支出（款）提租补贴（项）2025年预算</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0.69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5.04</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lang w:eastAsia="zh-CN"/>
        </w:rPr>
        <w:t>。</w:t>
      </w:r>
    </w:p>
    <w:p w14:paraId="46EA2B91">
      <w:pPr>
        <w:ind w:firstLine="640" w:firstLineChars="200"/>
        <w:rPr>
          <w:rFonts w:hint="eastAsia" w:ascii="TimesNewRoman" w:hAnsi="TimesNewRoman" w:eastAsia="仿宋_GB2312" w:cs="TimesNewRoman"/>
          <w:kern w:val="0"/>
          <w:sz w:val="32"/>
          <w:szCs w:val="32"/>
          <w:lang w:val="en-US" w:eastAsia="zh-CN"/>
        </w:rPr>
      </w:pP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住房保障支出（类）住房改革支出（款）购房补贴（项）2025年预算</w:t>
      </w:r>
      <w:r>
        <w:rPr>
          <w:rFonts w:hint="eastAsia" w:ascii="仿宋" w:hAnsi="仿宋" w:eastAsia="仿宋" w:cs="仿宋"/>
          <w:kern w:val="0"/>
          <w:sz w:val="32"/>
          <w:szCs w:val="32"/>
          <w:lang w:val="en-US" w:eastAsia="zh-CN"/>
        </w:rPr>
        <w:t>21.67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1.14</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TimesNewRoman" w:hAnsi="TimesNewRoman" w:eastAsia="仿宋_GB2312" w:cs="TimesNewRoman"/>
          <w:kern w:val="0"/>
          <w:sz w:val="32"/>
          <w:szCs w:val="32"/>
          <w:lang w:eastAsia="zh-CN"/>
        </w:rPr>
        <w:t>。</w:t>
      </w:r>
    </w:p>
    <w:p w14:paraId="42E89676">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六、关于2025年一般公共预算基本支出表的说明</w:t>
      </w:r>
    </w:p>
    <w:p w14:paraId="7BD7C29B">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638.25</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601.05</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37.2</w:t>
      </w:r>
      <w:r>
        <w:rPr>
          <w:rFonts w:hint="eastAsia" w:ascii="仿宋" w:hAnsi="仿宋" w:eastAsia="仿宋" w:cs="仿宋"/>
          <w:kern w:val="0"/>
          <w:sz w:val="32"/>
          <w:szCs w:val="32"/>
        </w:rPr>
        <w:t>万元。</w:t>
      </w:r>
    </w:p>
    <w:p w14:paraId="374C741D">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b/>
          <w:kern w:val="0"/>
          <w:sz w:val="32"/>
          <w:szCs w:val="32"/>
          <w:lang w:val="en-US" w:eastAsia="zh-CN"/>
        </w:rPr>
        <w:t>601.05</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主要包括:基本工资、津贴补贴、奖金、绩效工资、机关事业单位基本养老保险费、职业年金缴费、职工基本医疗保险缴费、公务员医疗补助缴费、其他社会保障缴费、住房公积金、其他工资福利支出、</w:t>
      </w:r>
      <w:r>
        <w:rPr>
          <w:rFonts w:hint="eastAsia" w:ascii="仿宋" w:hAnsi="仿宋" w:eastAsia="仿宋" w:cs="仿宋"/>
          <w:kern w:val="0"/>
          <w:sz w:val="32"/>
          <w:szCs w:val="32"/>
          <w:lang w:val="en-US" w:eastAsia="zh-CN"/>
        </w:rPr>
        <w:t>办公费、</w:t>
      </w:r>
      <w:r>
        <w:rPr>
          <w:rFonts w:hint="eastAsia" w:ascii="仿宋" w:hAnsi="仿宋" w:eastAsia="仿宋" w:cs="仿宋"/>
          <w:kern w:val="0"/>
          <w:sz w:val="32"/>
          <w:szCs w:val="32"/>
        </w:rPr>
        <w:t>工会经费、福利费</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其他商品和服务支出、</w:t>
      </w:r>
      <w:r>
        <w:rPr>
          <w:rFonts w:hint="eastAsia" w:ascii="仿宋" w:hAnsi="仿宋" w:eastAsia="仿宋" w:cs="仿宋"/>
          <w:kern w:val="0"/>
          <w:sz w:val="32"/>
          <w:szCs w:val="32"/>
        </w:rPr>
        <w:t>退休费、生活补助、医疗费补助、</w:t>
      </w:r>
      <w:r>
        <w:rPr>
          <w:rFonts w:hint="eastAsia" w:ascii="仿宋" w:hAnsi="仿宋" w:eastAsia="仿宋" w:cs="仿宋"/>
          <w:kern w:val="0"/>
          <w:sz w:val="32"/>
          <w:szCs w:val="32"/>
          <w:lang w:val="en-US" w:eastAsia="zh-CN"/>
        </w:rPr>
        <w:t>奖励金</w:t>
      </w:r>
      <w:r>
        <w:rPr>
          <w:rFonts w:hint="eastAsia" w:ascii="仿宋" w:hAnsi="仿宋" w:eastAsia="仿宋" w:cs="仿宋"/>
          <w:kern w:val="0"/>
          <w:sz w:val="32"/>
          <w:szCs w:val="32"/>
        </w:rPr>
        <w:t>、对其他个人和家庭的补助支出。</w:t>
      </w:r>
    </w:p>
    <w:p w14:paraId="64D2B1C2">
      <w:pPr>
        <w:ind w:firstLine="643" w:firstLineChars="200"/>
        <w:rPr>
          <w:rFonts w:ascii="TimesNewRoman" w:hAnsi="TimesNewRoman" w:eastAsia="仿宋_GB2312" w:cs="TimesNewRoman"/>
          <w:kern w:val="0"/>
          <w:sz w:val="32"/>
          <w:szCs w:val="32"/>
        </w:rPr>
      </w:pPr>
      <w:r>
        <w:rPr>
          <w:rFonts w:hint="eastAsia" w:ascii="仿宋" w:hAnsi="仿宋" w:eastAsia="仿宋" w:cs="仿宋"/>
          <w:b/>
          <w:kern w:val="0"/>
          <w:sz w:val="32"/>
          <w:szCs w:val="32"/>
        </w:rPr>
        <w:t>（二）公用经费</w:t>
      </w:r>
      <w:r>
        <w:rPr>
          <w:rFonts w:hint="eastAsia" w:ascii="仿宋" w:hAnsi="仿宋" w:eastAsia="仿宋" w:cs="仿宋"/>
          <w:b/>
          <w:kern w:val="0"/>
          <w:sz w:val="32"/>
          <w:szCs w:val="32"/>
          <w:lang w:val="en-US" w:eastAsia="zh-CN"/>
        </w:rPr>
        <w:t>37.2</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主要包括：其他商品服务支出</w:t>
      </w:r>
      <w:r>
        <w:rPr>
          <w:rFonts w:hint="eastAsia" w:ascii="TimesNewRoman" w:hAnsi="TimesNewRoman" w:eastAsia="仿宋_GB2312" w:cs="TimesNewRoman"/>
          <w:kern w:val="0"/>
          <w:sz w:val="32"/>
          <w:szCs w:val="32"/>
        </w:rPr>
        <w:t>。</w:t>
      </w:r>
    </w:p>
    <w:p w14:paraId="669A3CF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七、关于2025年政府性基金预算支出表的说明</w:t>
      </w:r>
    </w:p>
    <w:p w14:paraId="13143D4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2025年没有政府性基金预算拨款收入，也没有使用政府性基金预算拨款安排的支出</w:t>
      </w:r>
      <w:r>
        <w:rPr>
          <w:rFonts w:hint="eastAsia" w:ascii="TimesNewRoman" w:hAnsi="TimesNewRoman" w:eastAsia="仿宋_GB2312" w:cs="TimesNewRoman"/>
          <w:kern w:val="0"/>
          <w:sz w:val="32"/>
          <w:szCs w:val="32"/>
        </w:rPr>
        <w:t>。</w:t>
      </w:r>
    </w:p>
    <w:p w14:paraId="72512B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八、关于2025年国有资本经营预算支出表的说明</w:t>
      </w:r>
    </w:p>
    <w:p w14:paraId="17E45408">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2025年没有国有资本经营预算拨款收入，也没有使用国有资本经营预算拨款安排的支出</w:t>
      </w:r>
      <w:r>
        <w:rPr>
          <w:rFonts w:hint="eastAsia" w:ascii="TimesNewRoman" w:hAnsi="TimesNewRoman" w:eastAsia="仿宋_GB2312" w:cs="TimesNewRoman"/>
          <w:kern w:val="0"/>
          <w:sz w:val="32"/>
          <w:szCs w:val="32"/>
        </w:rPr>
        <w:t>。</w:t>
      </w:r>
    </w:p>
    <w:p w14:paraId="5D40A18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九、关于2025年项目支出表的说明</w:t>
      </w:r>
    </w:p>
    <w:p w14:paraId="0374D2F2">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压减项目经费</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r>
        <w:rPr>
          <w:rFonts w:hint="eastAsia" w:ascii="TimesNewRoman" w:hAnsi="TimesNewRoman" w:eastAsia="仿宋_GB2312" w:cs="TimesNewRoman"/>
          <w:kern w:val="0"/>
          <w:sz w:val="32"/>
          <w:szCs w:val="32"/>
        </w:rPr>
        <w:t>。</w:t>
      </w:r>
    </w:p>
    <w:p w14:paraId="0C257A31">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十、关于2025年政府采购支出表的说明</w:t>
      </w:r>
    </w:p>
    <w:p w14:paraId="075F7EF1">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r>
        <w:rPr>
          <w:rFonts w:hint="eastAsia" w:ascii="TimesNewRoman" w:hAnsi="TimesNewRoman" w:eastAsia="仿宋_GB2312" w:cs="TimesNewRoman"/>
          <w:kern w:val="0"/>
          <w:sz w:val="32"/>
          <w:szCs w:val="32"/>
        </w:rPr>
        <w:t>。</w:t>
      </w:r>
    </w:p>
    <w:p w14:paraId="25F3B567">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十一、关于2025年政府购买服务支出表的说明</w:t>
      </w:r>
    </w:p>
    <w:p w14:paraId="79F9F14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2025年没有安排政府购买服务支出</w:t>
      </w:r>
      <w:r>
        <w:rPr>
          <w:rFonts w:hint="eastAsia" w:ascii="TimesNewRoman" w:hAnsi="TimesNewRoman" w:eastAsia="仿宋_GB2312" w:cs="TimesNewRoman"/>
          <w:kern w:val="0"/>
          <w:sz w:val="32"/>
          <w:szCs w:val="32"/>
        </w:rPr>
        <w:t>。</w:t>
      </w:r>
    </w:p>
    <w:p w14:paraId="2FB3CF16">
      <w:pPr>
        <w:pStyle w:val="4"/>
        <w:numPr>
          <w:ilvl w:val="0"/>
          <w:numId w:val="1"/>
        </w:numPr>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关于202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年通用资产配置支出表的说明</w:t>
      </w:r>
    </w:p>
    <w:p w14:paraId="0FB5FD79">
      <w:pPr>
        <w:ind w:firstLine="640" w:firstLineChars="200"/>
        <w:rPr>
          <w:rFonts w:hint="eastAsia" w:ascii="TimesNewRoman" w:hAnsi="TimesNewRoman" w:eastAsia="仿宋_GB2312" w:cs="TimesNewRoman"/>
          <w:kern w:val="0"/>
          <w:sz w:val="32"/>
          <w:szCs w:val="32"/>
          <w:lang w:val="en-US" w:eastAsia="zh-CN"/>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年没有安排</w:t>
      </w:r>
      <w:r>
        <w:rPr>
          <w:rFonts w:hint="eastAsia" w:ascii="仿宋" w:hAnsi="仿宋" w:eastAsia="仿宋" w:cs="仿宋"/>
          <w:kern w:val="0"/>
          <w:sz w:val="32"/>
          <w:szCs w:val="32"/>
          <w:lang w:val="en-US" w:eastAsia="zh-CN"/>
        </w:rPr>
        <w:t>通用资产配置</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w:t>
      </w:r>
    </w:p>
    <w:p w14:paraId="1C08F1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9816A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4E6176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sz w:val="32"/>
          <w:szCs w:val="32"/>
          <w:highlight w:val="none"/>
        </w:rPr>
        <w:t>单位劳务保障经费</w:t>
      </w:r>
      <w:r>
        <w:rPr>
          <w:rFonts w:hint="eastAsia" w:ascii="仿宋" w:hAnsi="仿宋" w:eastAsia="仿宋" w:cs="仿宋"/>
          <w:kern w:val="0"/>
          <w:sz w:val="32"/>
          <w:szCs w:val="32"/>
        </w:rPr>
        <w:t>”项目。</w:t>
      </w:r>
    </w:p>
    <w:p w14:paraId="4E503C75">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足额及时发放聘用人员支出，保障检验工作的顺利进行</w:t>
      </w:r>
      <w:r>
        <w:rPr>
          <w:rFonts w:hint="eastAsia" w:ascii="仿宋" w:hAnsi="仿宋" w:eastAsia="仿宋" w:cs="仿宋"/>
          <w:kern w:val="0"/>
          <w:sz w:val="32"/>
          <w:szCs w:val="32"/>
          <w:lang w:val="en-US" w:eastAsia="zh-CN"/>
        </w:rPr>
        <w:t>。</w:t>
      </w:r>
    </w:p>
    <w:p w14:paraId="71B68A7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（2）立项依据。机构改革</w:t>
      </w:r>
      <w:r>
        <w:rPr>
          <w:rFonts w:hint="eastAsia" w:ascii="仿宋" w:hAnsi="仿宋" w:eastAsia="仿宋" w:cs="仿宋"/>
          <w:kern w:val="0"/>
          <w:sz w:val="32"/>
          <w:szCs w:val="32"/>
          <w:lang w:val="en-US" w:eastAsia="zh-CN"/>
        </w:rPr>
        <w:t>后，</w:t>
      </w:r>
      <w:r>
        <w:rPr>
          <w:rFonts w:hint="eastAsia" w:ascii="仿宋" w:hAnsi="仿宋" w:eastAsia="仿宋" w:cs="仿宋"/>
          <w:kern w:val="0"/>
          <w:sz w:val="32"/>
          <w:szCs w:val="32"/>
        </w:rPr>
        <w:t>为保障工作正常运转，</w:t>
      </w:r>
      <w:r>
        <w:rPr>
          <w:rFonts w:hint="eastAsia" w:ascii="仿宋" w:hAnsi="仿宋" w:eastAsia="仿宋" w:cs="仿宋"/>
          <w:kern w:val="0"/>
          <w:sz w:val="32"/>
          <w:szCs w:val="32"/>
          <w:lang w:val="en-US" w:eastAsia="zh-CN"/>
        </w:rPr>
        <w:t>长期聘用编外人员。</w:t>
      </w:r>
    </w:p>
    <w:p w14:paraId="2FC32E0A">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（3）实施主体。淮北市食品药品检验中心</w:t>
      </w:r>
    </w:p>
    <w:p w14:paraId="3A9F6CC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kern w:val="0"/>
          <w:sz w:val="32"/>
          <w:szCs w:val="32"/>
          <w:lang w:val="en-US" w:eastAsia="zh-CN"/>
        </w:rPr>
        <w:t>1至12月</w:t>
      </w:r>
    </w:p>
    <w:p w14:paraId="5AC4BB3A">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劳务费9万元、工会经费3万元</w:t>
      </w:r>
      <w:r>
        <w:rPr>
          <w:rFonts w:hint="eastAsia" w:ascii="仿宋" w:hAnsi="仿宋" w:eastAsia="仿宋" w:cs="仿宋"/>
          <w:kern w:val="0"/>
          <w:sz w:val="32"/>
          <w:szCs w:val="32"/>
          <w:lang w:eastAsia="zh-CN"/>
        </w:rPr>
        <w:t>。</w:t>
      </w:r>
    </w:p>
    <w:p w14:paraId="3B5F958B">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2025年预算安排12万元。</w:t>
      </w:r>
    </w:p>
    <w:p w14:paraId="52F7ECD9">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（7）绩效目标。保障聘用人员工资福利待遇</w:t>
      </w:r>
      <w:r>
        <w:rPr>
          <w:rFonts w:hint="eastAsia" w:ascii="TimesNewRoman" w:hAnsi="TimesNewRoman" w:eastAsia="仿宋_GB2312" w:cs="TimesNewRoman"/>
          <w:kern w:val="0"/>
          <w:sz w:val="32"/>
          <w:szCs w:val="32"/>
          <w:lang w:eastAsia="zh-CN"/>
        </w:rPr>
        <w:t>。</w:t>
      </w:r>
    </w:p>
    <w:p w14:paraId="1FCFA5B4"/>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42"/>
        <w:gridCol w:w="563"/>
        <w:gridCol w:w="664"/>
        <w:gridCol w:w="2675"/>
        <w:gridCol w:w="1854"/>
        <w:gridCol w:w="2380"/>
      </w:tblGrid>
      <w:tr w14:paraId="53F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FA21774">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426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C77655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42C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vAlign w:val="center"/>
          </w:tcPr>
          <w:p w14:paraId="54C93D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3" w:type="dxa"/>
            <w:gridSpan w:val="4"/>
            <w:tcBorders>
              <w:tl2br w:val="nil"/>
              <w:tr2bl w:val="nil"/>
            </w:tcBorders>
            <w:vAlign w:val="center"/>
          </w:tcPr>
          <w:p w14:paraId="059C860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单位运行劳务费</w:t>
            </w:r>
          </w:p>
        </w:tc>
      </w:tr>
      <w:tr w14:paraId="20C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7" w:type="dxa"/>
            <w:gridSpan w:val="3"/>
            <w:tcBorders>
              <w:tl2br w:val="nil"/>
              <w:tr2bl w:val="nil"/>
            </w:tcBorders>
            <w:vAlign w:val="center"/>
          </w:tcPr>
          <w:p w14:paraId="60DD1D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39" w:type="dxa"/>
            <w:gridSpan w:val="2"/>
            <w:tcBorders>
              <w:tl2br w:val="nil"/>
              <w:tr2bl w:val="nil"/>
            </w:tcBorders>
            <w:vAlign w:val="center"/>
          </w:tcPr>
          <w:p w14:paraId="6C2652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854" w:type="dxa"/>
            <w:tcBorders>
              <w:tl2br w:val="nil"/>
              <w:tr2bl w:val="nil"/>
            </w:tcBorders>
            <w:vAlign w:val="center"/>
          </w:tcPr>
          <w:p w14:paraId="3C0E916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204A2CE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淮北市食品药品检验中心</w:t>
            </w:r>
          </w:p>
        </w:tc>
      </w:tr>
      <w:tr w14:paraId="2A0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vAlign w:val="center"/>
          </w:tcPr>
          <w:p w14:paraId="106CAA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39" w:type="dxa"/>
            <w:gridSpan w:val="2"/>
            <w:tcBorders>
              <w:tl2br w:val="nil"/>
              <w:tr2bl w:val="nil"/>
            </w:tcBorders>
            <w:vAlign w:val="center"/>
          </w:tcPr>
          <w:p w14:paraId="1A0600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54" w:type="dxa"/>
            <w:tcBorders>
              <w:tl2br w:val="nil"/>
              <w:tr2bl w:val="nil"/>
            </w:tcBorders>
            <w:vAlign w:val="center"/>
          </w:tcPr>
          <w:p w14:paraId="7647562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4568C5C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167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restart"/>
            <w:tcBorders>
              <w:tl2br w:val="nil"/>
              <w:tr2bl w:val="nil"/>
            </w:tcBorders>
            <w:vAlign w:val="center"/>
          </w:tcPr>
          <w:p w14:paraId="43D060B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39" w:type="dxa"/>
            <w:gridSpan w:val="2"/>
            <w:tcBorders>
              <w:tl2br w:val="nil"/>
              <w:tr2bl w:val="nil"/>
            </w:tcBorders>
            <w:vAlign w:val="center"/>
          </w:tcPr>
          <w:p w14:paraId="06F0BD6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4" w:type="dxa"/>
            <w:gridSpan w:val="2"/>
            <w:tcBorders>
              <w:tl2br w:val="nil"/>
              <w:tr2bl w:val="nil"/>
            </w:tcBorders>
            <w:vAlign w:val="center"/>
          </w:tcPr>
          <w:p w14:paraId="43B59827">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2274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0F6DD694">
            <w:pPr>
              <w:jc w:val="center"/>
              <w:rPr>
                <w:rFonts w:ascii="宋体" w:cs="宋体"/>
                <w:sz w:val="20"/>
              </w:rPr>
            </w:pPr>
          </w:p>
        </w:tc>
        <w:tc>
          <w:tcPr>
            <w:tcW w:w="3339" w:type="dxa"/>
            <w:gridSpan w:val="2"/>
            <w:tcBorders>
              <w:tl2br w:val="nil"/>
              <w:tr2bl w:val="nil"/>
            </w:tcBorders>
            <w:vAlign w:val="center"/>
          </w:tcPr>
          <w:p w14:paraId="787B678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4" w:type="dxa"/>
            <w:gridSpan w:val="2"/>
            <w:tcBorders>
              <w:tl2br w:val="nil"/>
              <w:tr2bl w:val="nil"/>
            </w:tcBorders>
            <w:vAlign w:val="center"/>
          </w:tcPr>
          <w:p w14:paraId="246B657A">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7F4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60DAEBAD">
            <w:pPr>
              <w:jc w:val="center"/>
              <w:rPr>
                <w:rFonts w:ascii="宋体" w:cs="宋体"/>
                <w:sz w:val="20"/>
              </w:rPr>
            </w:pPr>
          </w:p>
        </w:tc>
        <w:tc>
          <w:tcPr>
            <w:tcW w:w="3339" w:type="dxa"/>
            <w:gridSpan w:val="2"/>
            <w:tcBorders>
              <w:tl2br w:val="nil"/>
              <w:tr2bl w:val="nil"/>
            </w:tcBorders>
            <w:vAlign w:val="center"/>
          </w:tcPr>
          <w:p w14:paraId="0C8A5BB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4" w:type="dxa"/>
            <w:gridSpan w:val="2"/>
            <w:tcBorders>
              <w:tl2br w:val="nil"/>
              <w:tr2bl w:val="nil"/>
            </w:tcBorders>
            <w:vAlign w:val="center"/>
          </w:tcPr>
          <w:p w14:paraId="0F3A825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5616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58805D90">
            <w:pPr>
              <w:jc w:val="center"/>
              <w:rPr>
                <w:rFonts w:ascii="宋体" w:cs="宋体"/>
                <w:sz w:val="20"/>
              </w:rPr>
            </w:pPr>
          </w:p>
        </w:tc>
        <w:tc>
          <w:tcPr>
            <w:tcW w:w="3339" w:type="dxa"/>
            <w:gridSpan w:val="2"/>
            <w:tcBorders>
              <w:tl2br w:val="nil"/>
              <w:tr2bl w:val="nil"/>
            </w:tcBorders>
            <w:vAlign w:val="center"/>
          </w:tcPr>
          <w:p w14:paraId="3CCC7AB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4" w:type="dxa"/>
            <w:gridSpan w:val="2"/>
            <w:tcBorders>
              <w:tl2br w:val="nil"/>
              <w:tr2bl w:val="nil"/>
            </w:tcBorders>
            <w:vAlign w:val="center"/>
          </w:tcPr>
          <w:p w14:paraId="00F062A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6F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42" w:type="dxa"/>
            <w:tcBorders>
              <w:tl2br w:val="nil"/>
              <w:tr2bl w:val="nil"/>
            </w:tcBorders>
            <w:vAlign w:val="center"/>
          </w:tcPr>
          <w:p w14:paraId="77673C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78" w:type="dxa"/>
            <w:gridSpan w:val="6"/>
            <w:tcBorders>
              <w:tl2br w:val="nil"/>
              <w:tr2bl w:val="nil"/>
            </w:tcBorders>
            <w:vAlign w:val="center"/>
          </w:tcPr>
          <w:p w14:paraId="22E8231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淮北市食品药品检验中心的项目属于经常性项目。人民对食品药品安全要求越来越高，作为检验监测技术单位，必须积极提升检验技能，将食品、药品和药械化安全监测能力建设作为长期的持续性工作。项目完成后，需继续优化各项管理制度与措施，不断加大人员和资金投入力度，保证检验监测工作正常有序运转，保证检验监测能力与技术水平得到持续不断地提高，保证年度工作项目能够圆满完成。主要支付聘用人员工资及社保。</w:t>
            </w:r>
          </w:p>
        </w:tc>
      </w:tr>
      <w:tr w14:paraId="7975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2" w:type="dxa"/>
            <w:vMerge w:val="restart"/>
            <w:tcBorders>
              <w:tl2br w:val="nil"/>
              <w:tr2bl w:val="nil"/>
            </w:tcBorders>
            <w:vAlign w:val="center"/>
          </w:tcPr>
          <w:p w14:paraId="640A88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42" w:type="dxa"/>
            <w:tcBorders>
              <w:tl2br w:val="nil"/>
              <w:tr2bl w:val="nil"/>
            </w:tcBorders>
            <w:vAlign w:val="center"/>
          </w:tcPr>
          <w:p w14:paraId="13551DB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27" w:type="dxa"/>
            <w:gridSpan w:val="2"/>
            <w:tcBorders>
              <w:tl2br w:val="nil"/>
              <w:tr2bl w:val="nil"/>
            </w:tcBorders>
            <w:vAlign w:val="center"/>
          </w:tcPr>
          <w:p w14:paraId="6BDC2BF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75" w:type="dxa"/>
            <w:tcBorders>
              <w:tl2br w:val="nil"/>
              <w:tr2bl w:val="nil"/>
            </w:tcBorders>
            <w:vAlign w:val="center"/>
          </w:tcPr>
          <w:p w14:paraId="6362B40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34" w:type="dxa"/>
            <w:gridSpan w:val="2"/>
            <w:tcBorders>
              <w:tl2br w:val="nil"/>
              <w:tr2bl w:val="nil"/>
            </w:tcBorders>
            <w:vAlign w:val="center"/>
          </w:tcPr>
          <w:p w14:paraId="125D03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92E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17CAEA43">
            <w:pPr>
              <w:jc w:val="center"/>
              <w:rPr>
                <w:rFonts w:ascii="宋体" w:cs="宋体"/>
                <w:sz w:val="20"/>
              </w:rPr>
            </w:pPr>
          </w:p>
        </w:tc>
        <w:tc>
          <w:tcPr>
            <w:tcW w:w="442" w:type="dxa"/>
            <w:vMerge w:val="restart"/>
            <w:tcBorders>
              <w:tl2br w:val="nil"/>
              <w:tr2bl w:val="nil"/>
            </w:tcBorders>
            <w:vAlign w:val="center"/>
          </w:tcPr>
          <w:p w14:paraId="1BC14E8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27" w:type="dxa"/>
            <w:gridSpan w:val="2"/>
            <w:tcBorders>
              <w:tl2br w:val="nil"/>
              <w:tr2bl w:val="nil"/>
            </w:tcBorders>
            <w:vAlign w:val="center"/>
          </w:tcPr>
          <w:p w14:paraId="255416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75" w:type="dxa"/>
            <w:tcBorders>
              <w:tl2br w:val="nil"/>
              <w:tr2bl w:val="nil"/>
            </w:tcBorders>
            <w:vAlign w:val="center"/>
          </w:tcPr>
          <w:p w14:paraId="2208E1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本年度聘用人数</w:t>
            </w:r>
          </w:p>
        </w:tc>
        <w:tc>
          <w:tcPr>
            <w:tcW w:w="4234" w:type="dxa"/>
            <w:gridSpan w:val="2"/>
            <w:tcBorders>
              <w:tl2br w:val="nil"/>
              <w:tr2bl w:val="nil"/>
            </w:tcBorders>
            <w:vAlign w:val="center"/>
          </w:tcPr>
          <w:p w14:paraId="4250BDC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≤3人</w:t>
            </w:r>
          </w:p>
        </w:tc>
      </w:tr>
      <w:tr w14:paraId="4AF4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60350BE1">
            <w:pPr>
              <w:jc w:val="center"/>
              <w:rPr>
                <w:rFonts w:ascii="宋体" w:cs="宋体"/>
                <w:sz w:val="20"/>
              </w:rPr>
            </w:pPr>
          </w:p>
        </w:tc>
        <w:tc>
          <w:tcPr>
            <w:tcW w:w="442" w:type="dxa"/>
            <w:vMerge w:val="continue"/>
            <w:tcBorders>
              <w:tl2br w:val="nil"/>
              <w:tr2bl w:val="nil"/>
            </w:tcBorders>
            <w:vAlign w:val="center"/>
          </w:tcPr>
          <w:p w14:paraId="06BF81C4">
            <w:pPr>
              <w:jc w:val="center"/>
              <w:rPr>
                <w:rFonts w:ascii="宋体" w:cs="宋体"/>
                <w:sz w:val="20"/>
              </w:rPr>
            </w:pPr>
          </w:p>
        </w:tc>
        <w:tc>
          <w:tcPr>
            <w:tcW w:w="1227" w:type="dxa"/>
            <w:gridSpan w:val="2"/>
            <w:tcBorders>
              <w:tl2br w:val="nil"/>
              <w:tr2bl w:val="nil"/>
            </w:tcBorders>
            <w:vAlign w:val="center"/>
          </w:tcPr>
          <w:p w14:paraId="535F716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75" w:type="dxa"/>
            <w:tcBorders>
              <w:tl2br w:val="nil"/>
              <w:tr2bl w:val="nil"/>
            </w:tcBorders>
            <w:vAlign w:val="center"/>
          </w:tcPr>
          <w:p w14:paraId="10CCFB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保障工作有序进行程度</w:t>
            </w:r>
          </w:p>
        </w:tc>
        <w:tc>
          <w:tcPr>
            <w:tcW w:w="4234" w:type="dxa"/>
            <w:gridSpan w:val="2"/>
            <w:tcBorders>
              <w:tl2br w:val="nil"/>
              <w:tr2bl w:val="nil"/>
            </w:tcBorders>
            <w:vAlign w:val="center"/>
          </w:tcPr>
          <w:p w14:paraId="3E68C19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≥98%</w:t>
            </w:r>
          </w:p>
        </w:tc>
      </w:tr>
      <w:tr w14:paraId="41B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60574FDF">
            <w:pPr>
              <w:jc w:val="center"/>
              <w:rPr>
                <w:rFonts w:ascii="宋体" w:cs="宋体"/>
                <w:sz w:val="20"/>
              </w:rPr>
            </w:pPr>
          </w:p>
        </w:tc>
        <w:tc>
          <w:tcPr>
            <w:tcW w:w="442" w:type="dxa"/>
            <w:vMerge w:val="continue"/>
            <w:tcBorders>
              <w:tl2br w:val="nil"/>
              <w:tr2bl w:val="nil"/>
            </w:tcBorders>
            <w:vAlign w:val="center"/>
          </w:tcPr>
          <w:p w14:paraId="2A550B50">
            <w:pPr>
              <w:jc w:val="center"/>
              <w:rPr>
                <w:rFonts w:ascii="宋体" w:cs="宋体"/>
                <w:sz w:val="20"/>
              </w:rPr>
            </w:pPr>
          </w:p>
        </w:tc>
        <w:tc>
          <w:tcPr>
            <w:tcW w:w="1227" w:type="dxa"/>
            <w:gridSpan w:val="2"/>
            <w:tcBorders>
              <w:tl2br w:val="nil"/>
              <w:tr2bl w:val="nil"/>
            </w:tcBorders>
            <w:vAlign w:val="center"/>
          </w:tcPr>
          <w:p w14:paraId="02093E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75" w:type="dxa"/>
            <w:tcBorders>
              <w:tl2br w:val="nil"/>
              <w:tr2bl w:val="nil"/>
            </w:tcBorders>
            <w:vAlign w:val="center"/>
          </w:tcPr>
          <w:p w14:paraId="67329E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发放聘用人员工资等费用</w:t>
            </w:r>
          </w:p>
        </w:tc>
        <w:tc>
          <w:tcPr>
            <w:tcW w:w="4234" w:type="dxa"/>
            <w:gridSpan w:val="2"/>
            <w:tcBorders>
              <w:tl2br w:val="nil"/>
              <w:tr2bl w:val="nil"/>
            </w:tcBorders>
            <w:vAlign w:val="center"/>
          </w:tcPr>
          <w:p w14:paraId="6D6123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≥98%</w:t>
            </w:r>
          </w:p>
        </w:tc>
      </w:tr>
      <w:tr w14:paraId="351B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261B8FAD">
            <w:pPr>
              <w:jc w:val="center"/>
              <w:rPr>
                <w:rFonts w:ascii="宋体" w:cs="宋体"/>
                <w:sz w:val="20"/>
              </w:rPr>
            </w:pPr>
          </w:p>
        </w:tc>
        <w:tc>
          <w:tcPr>
            <w:tcW w:w="442" w:type="dxa"/>
            <w:vMerge w:val="continue"/>
            <w:tcBorders>
              <w:tl2br w:val="nil"/>
              <w:tr2bl w:val="nil"/>
            </w:tcBorders>
            <w:vAlign w:val="center"/>
          </w:tcPr>
          <w:p w14:paraId="0364BE19">
            <w:pPr>
              <w:jc w:val="center"/>
              <w:rPr>
                <w:rFonts w:ascii="宋体" w:cs="宋体"/>
                <w:sz w:val="20"/>
              </w:rPr>
            </w:pPr>
          </w:p>
        </w:tc>
        <w:tc>
          <w:tcPr>
            <w:tcW w:w="1227" w:type="dxa"/>
            <w:gridSpan w:val="2"/>
            <w:tcBorders>
              <w:tl2br w:val="nil"/>
              <w:tr2bl w:val="nil"/>
            </w:tcBorders>
            <w:vAlign w:val="center"/>
          </w:tcPr>
          <w:p w14:paraId="7E3E29A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75" w:type="dxa"/>
            <w:tcBorders>
              <w:tl2br w:val="nil"/>
              <w:tr2bl w:val="nil"/>
            </w:tcBorders>
            <w:vAlign w:val="center"/>
          </w:tcPr>
          <w:p w14:paraId="378CF3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在预算范围内</w:t>
            </w:r>
          </w:p>
        </w:tc>
        <w:tc>
          <w:tcPr>
            <w:tcW w:w="4234" w:type="dxa"/>
            <w:gridSpan w:val="2"/>
            <w:tcBorders>
              <w:tl2br w:val="nil"/>
              <w:tr2bl w:val="nil"/>
            </w:tcBorders>
            <w:vAlign w:val="center"/>
          </w:tcPr>
          <w:p w14:paraId="29881FF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≤12万元</w:t>
            </w:r>
          </w:p>
        </w:tc>
      </w:tr>
      <w:tr w14:paraId="32AE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562E6435">
            <w:pPr>
              <w:jc w:val="center"/>
              <w:rPr>
                <w:rFonts w:ascii="宋体" w:cs="宋体"/>
                <w:sz w:val="20"/>
              </w:rPr>
            </w:pPr>
          </w:p>
        </w:tc>
        <w:tc>
          <w:tcPr>
            <w:tcW w:w="442" w:type="dxa"/>
            <w:vMerge w:val="restart"/>
            <w:tcBorders>
              <w:tl2br w:val="nil"/>
              <w:tr2bl w:val="nil"/>
            </w:tcBorders>
            <w:vAlign w:val="center"/>
          </w:tcPr>
          <w:p w14:paraId="148CE2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27" w:type="dxa"/>
            <w:gridSpan w:val="2"/>
            <w:tcBorders>
              <w:tl2br w:val="nil"/>
              <w:tr2bl w:val="nil"/>
            </w:tcBorders>
            <w:vAlign w:val="center"/>
          </w:tcPr>
          <w:p w14:paraId="6F272B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75" w:type="dxa"/>
            <w:tcBorders>
              <w:tl2br w:val="nil"/>
              <w:tr2bl w:val="nil"/>
            </w:tcBorders>
            <w:vAlign w:val="center"/>
          </w:tcPr>
          <w:p w14:paraId="539839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不产生经济效益</w:t>
            </w:r>
          </w:p>
        </w:tc>
        <w:tc>
          <w:tcPr>
            <w:tcW w:w="4234" w:type="dxa"/>
            <w:gridSpan w:val="2"/>
            <w:tcBorders>
              <w:tl2br w:val="nil"/>
              <w:tr2bl w:val="nil"/>
            </w:tcBorders>
            <w:vAlign w:val="center"/>
          </w:tcPr>
          <w:p w14:paraId="4E00A52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5EA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04A73DE6">
            <w:pPr>
              <w:jc w:val="center"/>
              <w:rPr>
                <w:rFonts w:ascii="宋体" w:cs="宋体"/>
                <w:sz w:val="20"/>
              </w:rPr>
            </w:pPr>
          </w:p>
        </w:tc>
        <w:tc>
          <w:tcPr>
            <w:tcW w:w="442" w:type="dxa"/>
            <w:vMerge w:val="continue"/>
            <w:tcBorders>
              <w:tl2br w:val="nil"/>
              <w:tr2bl w:val="nil"/>
            </w:tcBorders>
            <w:vAlign w:val="center"/>
          </w:tcPr>
          <w:p w14:paraId="1FC2EC2E">
            <w:pPr>
              <w:jc w:val="center"/>
              <w:rPr>
                <w:rFonts w:ascii="宋体" w:cs="宋体"/>
                <w:sz w:val="20"/>
              </w:rPr>
            </w:pPr>
          </w:p>
        </w:tc>
        <w:tc>
          <w:tcPr>
            <w:tcW w:w="1227" w:type="dxa"/>
            <w:gridSpan w:val="2"/>
            <w:tcBorders>
              <w:tl2br w:val="nil"/>
              <w:tr2bl w:val="nil"/>
            </w:tcBorders>
            <w:vAlign w:val="center"/>
          </w:tcPr>
          <w:p w14:paraId="0AC2A6C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75" w:type="dxa"/>
            <w:tcBorders>
              <w:tl2br w:val="nil"/>
              <w:tr2bl w:val="nil"/>
            </w:tcBorders>
            <w:vAlign w:val="center"/>
          </w:tcPr>
          <w:p w14:paraId="07A2B8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完成各项检验任务</w:t>
            </w:r>
          </w:p>
        </w:tc>
        <w:tc>
          <w:tcPr>
            <w:tcW w:w="4234" w:type="dxa"/>
            <w:gridSpan w:val="2"/>
            <w:tcBorders>
              <w:tl2br w:val="nil"/>
              <w:tr2bl w:val="nil"/>
            </w:tcBorders>
            <w:vAlign w:val="center"/>
          </w:tcPr>
          <w:p w14:paraId="71E3D6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持续增长</w:t>
            </w:r>
          </w:p>
        </w:tc>
      </w:tr>
      <w:tr w14:paraId="4452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169EA47A">
            <w:pPr>
              <w:jc w:val="center"/>
              <w:rPr>
                <w:rFonts w:ascii="宋体" w:cs="宋体"/>
                <w:sz w:val="20"/>
              </w:rPr>
            </w:pPr>
          </w:p>
        </w:tc>
        <w:tc>
          <w:tcPr>
            <w:tcW w:w="442" w:type="dxa"/>
            <w:vMerge w:val="continue"/>
            <w:tcBorders>
              <w:tl2br w:val="nil"/>
              <w:tr2bl w:val="nil"/>
            </w:tcBorders>
            <w:vAlign w:val="center"/>
          </w:tcPr>
          <w:p w14:paraId="4C5C9BED">
            <w:pPr>
              <w:jc w:val="center"/>
              <w:rPr>
                <w:rFonts w:ascii="宋体" w:cs="宋体"/>
                <w:sz w:val="20"/>
              </w:rPr>
            </w:pPr>
          </w:p>
        </w:tc>
        <w:tc>
          <w:tcPr>
            <w:tcW w:w="1227" w:type="dxa"/>
            <w:gridSpan w:val="2"/>
            <w:tcBorders>
              <w:tl2br w:val="nil"/>
              <w:tr2bl w:val="nil"/>
            </w:tcBorders>
            <w:vAlign w:val="center"/>
          </w:tcPr>
          <w:p w14:paraId="278169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75" w:type="dxa"/>
            <w:tcBorders>
              <w:tl2br w:val="nil"/>
              <w:tr2bl w:val="nil"/>
            </w:tcBorders>
            <w:vAlign w:val="center"/>
          </w:tcPr>
          <w:p w14:paraId="5B3C96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无生态效益</w:t>
            </w:r>
          </w:p>
        </w:tc>
        <w:tc>
          <w:tcPr>
            <w:tcW w:w="4234" w:type="dxa"/>
            <w:gridSpan w:val="2"/>
            <w:tcBorders>
              <w:tl2br w:val="nil"/>
              <w:tr2bl w:val="nil"/>
            </w:tcBorders>
            <w:vAlign w:val="center"/>
          </w:tcPr>
          <w:p w14:paraId="7B45B43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1340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3D712D61">
            <w:pPr>
              <w:jc w:val="center"/>
              <w:rPr>
                <w:rFonts w:ascii="宋体" w:cs="宋体"/>
                <w:sz w:val="20"/>
              </w:rPr>
            </w:pPr>
          </w:p>
        </w:tc>
        <w:tc>
          <w:tcPr>
            <w:tcW w:w="442" w:type="dxa"/>
            <w:vMerge w:val="continue"/>
            <w:tcBorders>
              <w:tl2br w:val="nil"/>
              <w:tr2bl w:val="nil"/>
            </w:tcBorders>
            <w:vAlign w:val="center"/>
          </w:tcPr>
          <w:p w14:paraId="23E983F1">
            <w:pPr>
              <w:jc w:val="center"/>
              <w:rPr>
                <w:rFonts w:ascii="宋体" w:cs="宋体"/>
                <w:sz w:val="20"/>
              </w:rPr>
            </w:pPr>
          </w:p>
        </w:tc>
        <w:tc>
          <w:tcPr>
            <w:tcW w:w="1227" w:type="dxa"/>
            <w:gridSpan w:val="2"/>
            <w:tcBorders>
              <w:tl2br w:val="nil"/>
              <w:tr2bl w:val="nil"/>
            </w:tcBorders>
            <w:vAlign w:val="center"/>
          </w:tcPr>
          <w:p w14:paraId="3E0CE7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75" w:type="dxa"/>
            <w:tcBorders>
              <w:tl2br w:val="nil"/>
              <w:tr2bl w:val="nil"/>
            </w:tcBorders>
            <w:vAlign w:val="center"/>
          </w:tcPr>
          <w:p w14:paraId="0E025E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项目持续发挥作用</w:t>
            </w:r>
          </w:p>
        </w:tc>
        <w:tc>
          <w:tcPr>
            <w:tcW w:w="4234" w:type="dxa"/>
            <w:gridSpan w:val="2"/>
            <w:tcBorders>
              <w:tl2br w:val="nil"/>
              <w:tr2bl w:val="nil"/>
            </w:tcBorders>
            <w:vAlign w:val="center"/>
          </w:tcPr>
          <w:p w14:paraId="01E664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持续影响</w:t>
            </w:r>
          </w:p>
        </w:tc>
      </w:tr>
      <w:tr w14:paraId="763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vAlign w:val="center"/>
          </w:tcPr>
          <w:p w14:paraId="72069C9B">
            <w:pPr>
              <w:jc w:val="center"/>
              <w:rPr>
                <w:rFonts w:ascii="宋体" w:cs="宋体"/>
                <w:sz w:val="20"/>
              </w:rPr>
            </w:pPr>
          </w:p>
        </w:tc>
        <w:tc>
          <w:tcPr>
            <w:tcW w:w="442" w:type="dxa"/>
            <w:tcBorders>
              <w:tl2br w:val="nil"/>
              <w:tr2bl w:val="nil"/>
            </w:tcBorders>
            <w:vAlign w:val="center"/>
          </w:tcPr>
          <w:p w14:paraId="465ABE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27" w:type="dxa"/>
            <w:gridSpan w:val="2"/>
            <w:tcBorders>
              <w:tl2br w:val="nil"/>
              <w:tr2bl w:val="nil"/>
            </w:tcBorders>
            <w:vAlign w:val="center"/>
          </w:tcPr>
          <w:p w14:paraId="656623E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75" w:type="dxa"/>
            <w:tcBorders>
              <w:tl2br w:val="nil"/>
              <w:tr2bl w:val="nil"/>
            </w:tcBorders>
            <w:vAlign w:val="center"/>
          </w:tcPr>
          <w:p w14:paraId="5B864A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人员对相关支出发放的满意度</w:t>
            </w:r>
          </w:p>
        </w:tc>
        <w:tc>
          <w:tcPr>
            <w:tcW w:w="4234" w:type="dxa"/>
            <w:gridSpan w:val="2"/>
            <w:tcBorders>
              <w:tl2br w:val="nil"/>
              <w:tr2bl w:val="nil"/>
            </w:tcBorders>
            <w:vAlign w:val="center"/>
          </w:tcPr>
          <w:p w14:paraId="106ED0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≥98%</w:t>
            </w:r>
          </w:p>
        </w:tc>
      </w:tr>
    </w:tbl>
    <w:p w14:paraId="6CCDC346">
      <w:pPr>
        <w:ind w:firstLine="420" w:firstLineChars="200"/>
      </w:pPr>
    </w:p>
    <w:p w14:paraId="3BB69933">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、“药品检验检测能力建设提升专项经费”项目。</w:t>
      </w:r>
    </w:p>
    <w:p w14:paraId="23EF1B16">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市食品药品检验中心承担食品、药品、医疗器械、中药和化妆品的检验任务，为全市食品药品监管提供技术支撑。目前，食品药品检验检测能力已成为监管瓶颈。为加快提升我市药品检验检测能力</w:t>
      </w:r>
      <w:r>
        <w:rPr>
          <w:rFonts w:hint="eastAsia" w:ascii="仿宋" w:hAnsi="仿宋" w:eastAsia="仿宋" w:cs="仿宋"/>
          <w:kern w:val="0"/>
          <w:sz w:val="32"/>
          <w:szCs w:val="32"/>
          <w:lang w:val="en-US" w:eastAsia="zh-CN"/>
        </w:rPr>
        <w:t>。</w:t>
      </w:r>
    </w:p>
    <w:p w14:paraId="2EBF82C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国务院办公厅于5月10日发布了《关于全面加强药品监管能力建设的实施意见》（国办发〔2021〕16号），在重点任务中明确提出“提高检验检测能力”。省药监局在《关于全面加强药品监管能力建设具体举措》中要求各级政府在经费方面予以保障</w:t>
      </w:r>
      <w:r>
        <w:rPr>
          <w:rFonts w:hint="eastAsia" w:ascii="仿宋" w:hAnsi="仿宋" w:eastAsia="仿宋" w:cs="仿宋"/>
          <w:kern w:val="0"/>
          <w:sz w:val="32"/>
          <w:szCs w:val="32"/>
          <w:lang w:val="en-US" w:eastAsia="zh-CN"/>
        </w:rPr>
        <w:t>。</w:t>
      </w:r>
    </w:p>
    <w:p w14:paraId="4552355D">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（3）实施主体。淮北市食品药品检验中心</w:t>
      </w:r>
    </w:p>
    <w:p w14:paraId="26AF0FE3">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kern w:val="0"/>
          <w:sz w:val="32"/>
          <w:szCs w:val="32"/>
          <w:lang w:val="en-US" w:eastAsia="zh-CN"/>
        </w:rPr>
        <w:t>1至12月</w:t>
      </w:r>
    </w:p>
    <w:p w14:paraId="2B58CB3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专用设备购置费16.5万元、公务用车运行维护费3.5万元</w:t>
      </w:r>
      <w:r>
        <w:rPr>
          <w:rFonts w:hint="eastAsia" w:ascii="仿宋" w:hAnsi="仿宋" w:eastAsia="仿宋" w:cs="仿宋"/>
          <w:kern w:val="0"/>
          <w:sz w:val="32"/>
          <w:szCs w:val="32"/>
          <w:lang w:eastAsia="zh-CN"/>
        </w:rPr>
        <w:t>。</w:t>
      </w:r>
    </w:p>
    <w:p w14:paraId="1E1AA7F1">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2025年预算安排20万元。</w:t>
      </w:r>
    </w:p>
    <w:p w14:paraId="7250EC66">
      <w:pPr>
        <w:ind w:firstLine="640" w:firstLineChars="200"/>
        <w:rPr>
          <w:rFonts w:hint="eastAsia" w:ascii="TimesNewRoman" w:hAnsi="TimesNewRoman" w:eastAsia="仿宋_GB2312" w:cs="TimesNewRoman"/>
          <w:kern w:val="0"/>
          <w:sz w:val="32"/>
          <w:szCs w:val="32"/>
          <w:lang w:eastAsia="zh-CN"/>
        </w:rPr>
      </w:pPr>
      <w:r>
        <w:rPr>
          <w:rFonts w:hint="eastAsia" w:ascii="仿宋" w:hAnsi="仿宋" w:eastAsia="仿宋" w:cs="仿宋"/>
          <w:kern w:val="0"/>
          <w:sz w:val="32"/>
          <w:szCs w:val="32"/>
        </w:rPr>
        <w:t>（7）绩效目标。加强药品（含医疗器械、化妆品）及时完成药品检验、食品监督抽查</w:t>
      </w:r>
      <w:r>
        <w:rPr>
          <w:rFonts w:hint="eastAsia" w:ascii="TimesNewRoman" w:hAnsi="TimesNewRoman" w:eastAsia="仿宋_GB2312" w:cs="TimesNewRoman"/>
          <w:kern w:val="0"/>
          <w:sz w:val="32"/>
          <w:szCs w:val="32"/>
          <w:lang w:eastAsia="zh-CN"/>
        </w:rPr>
        <w:t>。</w:t>
      </w:r>
      <w:bookmarkStart w:id="0" w:name="_GoBack"/>
      <w:bookmarkEnd w:id="0"/>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7"/>
        <w:gridCol w:w="610"/>
        <w:gridCol w:w="715"/>
        <w:gridCol w:w="2889"/>
        <w:gridCol w:w="2001"/>
        <w:gridCol w:w="2574"/>
      </w:tblGrid>
      <w:tr w14:paraId="5373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55B0752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314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0015B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A11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F8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FB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药品检验检测能力建设提升专项经费</w:t>
            </w:r>
          </w:p>
        </w:tc>
      </w:tr>
      <w:tr w14:paraId="36B9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36408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0000A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17EAD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7A9E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淮北市食品药品检验中心</w:t>
            </w:r>
          </w:p>
        </w:tc>
      </w:tr>
      <w:tr w14:paraId="3727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3DA1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9488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0529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E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E5B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4D6CD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E519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89C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14:paraId="5D23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1265F783">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6588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1C3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14:paraId="4D41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D261CD7">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4ED57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6B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5374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1839CE8D">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4ECDD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5D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5EA0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0C277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AF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实验室药品检验设备陈旧老化，为提升药品检验检测建设能力提升，需更新新的药品检验检测仪器设备一台套及抽样车保险维修等费用。</w:t>
            </w:r>
          </w:p>
        </w:tc>
      </w:tr>
      <w:tr w14:paraId="13C8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E6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12525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5CA7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6BE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A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B1C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B554">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7A571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21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16795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购入新系统数量</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r>
      <w:tr w14:paraId="7088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2F16F">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48199A3">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744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6E7F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提升检验检测能力率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39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E7B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E160">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4DA5FBD">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344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221F6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工作完成时限</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86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r>
      <w:tr w14:paraId="7EB8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17BFF">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3830030">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6E2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219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在预算范围内</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F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≤20万元</w:t>
            </w:r>
          </w:p>
        </w:tc>
      </w:tr>
      <w:tr w14:paraId="47ED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3CA8">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36BB9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896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23381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E1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AE8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3B9D">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44DD19D7">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530C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435C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持续提升工作能力</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持续增长</w:t>
            </w:r>
          </w:p>
        </w:tc>
      </w:tr>
      <w:tr w14:paraId="50BE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E90E">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E5A5E51">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2E3C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1A584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无生态效益指标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6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14:paraId="76C0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0879">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10F4E2F">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4E58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BC80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增长可持续影响</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D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持续增长</w:t>
            </w:r>
          </w:p>
        </w:tc>
      </w:tr>
      <w:tr w14:paraId="68EB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9B17">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08478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3EB8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6EFD6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实施单位满意程度</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D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33D204B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F0D3ECC">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为非参照公务员法管理的事业单位，按照</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预算机关运行经费口径，2025年无机关运行经费财政拨款预算。</w:t>
      </w:r>
    </w:p>
    <w:p w14:paraId="735784BB">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（三）政府采购情况。</w:t>
      </w:r>
    </w:p>
    <w:p w14:paraId="2CCA3AE7">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1A47DB0C">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918256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辆，其中：其他用车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辆。单价50万元以上的通用设备</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w:t>
      </w:r>
    </w:p>
    <w:p w14:paraId="2B1A794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40884110">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019CF8E0">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淮北市食品药品检验中心</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r>
        <w:rPr>
          <w:rFonts w:hint="eastAsia" w:ascii="TimesNewRoman" w:hAnsi="TimesNewRoman" w:eastAsia="仿宋_GB2312" w:cs="TimesNewRoman"/>
          <w:kern w:val="0"/>
          <w:sz w:val="32"/>
          <w:szCs w:val="32"/>
        </w:rPr>
        <w:t>。</w:t>
      </w:r>
    </w:p>
    <w:p w14:paraId="2B277041">
      <w:pPr>
        <w:pStyle w:val="4"/>
        <w:adjustRightInd w:val="0"/>
        <w:snapToGrid w:val="0"/>
        <w:spacing w:line="560" w:lineRule="exact"/>
        <w:jc w:val="center"/>
        <w:rPr>
          <w:rFonts w:ascii="TimesNewRoman" w:hAnsi="TimesNewRoman" w:eastAsia="黑体" w:cs="TimesNewRoman"/>
          <w:bCs/>
          <w:sz w:val="36"/>
          <w:szCs w:val="36"/>
        </w:rPr>
      </w:pPr>
    </w:p>
    <w:p w14:paraId="67E41A9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34A687"/>
    <w:p w14:paraId="60E5181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43B603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93237A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72836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8DE91A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C32823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FC011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EFE7AC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CA4F29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11666D9">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10609060101010101"/>
    <w:charset w:val="00"/>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D85B1"/>
    <w:multiLevelType w:val="singleLevel"/>
    <w:tmpl w:val="754D85B1"/>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1C36AE4"/>
    <w:rsid w:val="05685F23"/>
    <w:rsid w:val="09B43FF9"/>
    <w:rsid w:val="0A7A416B"/>
    <w:rsid w:val="1155330E"/>
    <w:rsid w:val="11D01689"/>
    <w:rsid w:val="191434F9"/>
    <w:rsid w:val="1FF72AAD"/>
    <w:rsid w:val="20362A4E"/>
    <w:rsid w:val="219A344B"/>
    <w:rsid w:val="21A352E0"/>
    <w:rsid w:val="358056B3"/>
    <w:rsid w:val="3E14689C"/>
    <w:rsid w:val="4310795C"/>
    <w:rsid w:val="43C3698A"/>
    <w:rsid w:val="47197AFE"/>
    <w:rsid w:val="6018120A"/>
    <w:rsid w:val="60246D04"/>
    <w:rsid w:val="6737432A"/>
    <w:rsid w:val="681507BA"/>
    <w:rsid w:val="6CF517E4"/>
    <w:rsid w:val="6E5A3B6C"/>
    <w:rsid w:val="6F6C4051"/>
    <w:rsid w:val="70D540F2"/>
    <w:rsid w:val="75C8005B"/>
    <w:rsid w:val="78F65A4C"/>
    <w:rsid w:val="796C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5959</Words>
  <Characters>6681</Characters>
  <Lines>46</Lines>
  <Paragraphs>13</Paragraphs>
  <TotalTime>16</TotalTime>
  <ScaleCrop>false</ScaleCrop>
  <LinksUpToDate>false</LinksUpToDate>
  <CharactersWithSpaces>6900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QAmy~慧</cp:lastModifiedBy>
  <dcterms:modified xsi:type="dcterms:W3CDTF">2025-02-21T03:30:38Z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eyJoZGlkIjoiNDQ0NmZkNDU2YTUwNWM3NjI1YmRiYzZmYTIwNDAzMjEiLCJ1c2VySWQiOiIzOTMxODUyNTIifQ==</vt:lpwstr>
  </property>
  <property fmtid="{D5CDD505-2E9C-101B-9397-08002B2CF9AE}" pid="3" name="KSOProductBuildVer">
    <vt:lpwstr>2052-12.1.0.19770</vt:lpwstr>
  </property>
  <property fmtid="{D5CDD505-2E9C-101B-9397-08002B2CF9AE}" pid="4" name="ICV">
    <vt:lpwstr>5BB6635537CA4FC78240E849671B5DF7_12</vt:lpwstr>
  </property>
</Properties>
</file>