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C4776A">
      <w:pPr>
        <w:spacing w:line="560" w:lineRule="exact"/>
        <w:rPr>
          <w:rFonts w:ascii="TimesNewRoman" w:hAnsi="TimesNewRoman" w:eastAsia="黑体" w:cs="TimesNewRoman"/>
          <w:szCs w:val="32"/>
        </w:rPr>
      </w:pPr>
      <w:r>
        <w:rPr>
          <w:rFonts w:hint="eastAsia" w:ascii="TimesNewRoman" w:hAnsi="TimesNewRoman" w:eastAsia="黑体" w:cs="TimesNewRoman"/>
          <w:szCs w:val="32"/>
        </w:rPr>
        <w:t>附件1-1</w:t>
      </w:r>
    </w:p>
    <w:p w14:paraId="23A8083A"/>
    <w:p w14:paraId="39A77D87"/>
    <w:p w14:paraId="51499594"/>
    <w:p w14:paraId="1DDFC30C"/>
    <w:p w14:paraId="339BB554"/>
    <w:p w14:paraId="4DCC7D96"/>
    <w:p w14:paraId="3B1B9D21"/>
    <w:p w14:paraId="1D99AC7B"/>
    <w:p w14:paraId="1AC150B5">
      <w:pPr>
        <w:spacing w:line="560" w:lineRule="exact"/>
        <w:jc w:val="center"/>
        <w:rPr>
          <w:rFonts w:ascii="TimesNewRoman" w:hAnsi="TimesNewRoman" w:eastAsia="华文中宋" w:cs="TimesNewRoman"/>
          <w:b/>
          <w:sz w:val="44"/>
          <w:szCs w:val="44"/>
        </w:rPr>
      </w:pPr>
      <w:r>
        <w:rPr>
          <w:rFonts w:hint="eastAsia" w:ascii="TimesNewRoman" w:hAnsi="TimesNewRoman" w:eastAsia="华文中宋" w:cs="TimesNewRoman"/>
          <w:b/>
          <w:sz w:val="44"/>
          <w:szCs w:val="44"/>
        </w:rPr>
        <w:t>淮北市</w:t>
      </w:r>
      <w:r>
        <w:rPr>
          <w:rFonts w:hint="eastAsia" w:ascii="TimesNewRoman" w:hAnsi="TimesNewRoman" w:eastAsia="华文中宋" w:cs="TimesNewRoman"/>
          <w:b/>
          <w:sz w:val="44"/>
          <w:szCs w:val="44"/>
          <w:lang w:val="en-US" w:eastAsia="zh-CN"/>
        </w:rPr>
        <w:t>市场监督管理局</w:t>
      </w:r>
      <w:r>
        <w:rPr>
          <w:rFonts w:hint="eastAsia" w:ascii="TimesNewRoman" w:hAnsi="TimesNewRoman" w:eastAsia="华文中宋" w:cs="TimesNewRoman"/>
          <w:b/>
          <w:sz w:val="44"/>
          <w:szCs w:val="44"/>
        </w:rPr>
        <w:t>2024年</w:t>
      </w:r>
    </w:p>
    <w:p w14:paraId="38FB27D7">
      <w:pPr>
        <w:spacing w:line="560" w:lineRule="exact"/>
        <w:jc w:val="center"/>
        <w:rPr>
          <w:rFonts w:ascii="TimesNewRoman" w:hAnsi="TimesNewRoman" w:eastAsia="华文中宋" w:cs="TimesNewRoman"/>
          <w:b/>
          <w:sz w:val="44"/>
          <w:szCs w:val="44"/>
        </w:rPr>
      </w:pPr>
      <w:r>
        <w:rPr>
          <w:rFonts w:hint="eastAsia" w:ascii="TimesNewRoman" w:hAnsi="TimesNewRoman" w:eastAsia="华文中宋" w:cs="TimesNewRoman"/>
          <w:b/>
          <w:sz w:val="44"/>
          <w:szCs w:val="44"/>
        </w:rPr>
        <w:t>部门预算</w:t>
      </w:r>
    </w:p>
    <w:p w14:paraId="08671A83"/>
    <w:p w14:paraId="0334A74D"/>
    <w:p w14:paraId="53B60BB9"/>
    <w:p w14:paraId="7B5EB6FB"/>
    <w:p w14:paraId="6056AF2A"/>
    <w:p w14:paraId="2A762D5E"/>
    <w:p w14:paraId="300251A3"/>
    <w:p w14:paraId="20E5D812"/>
    <w:p w14:paraId="0B1B7D7E"/>
    <w:p w14:paraId="011D61EA"/>
    <w:p w14:paraId="1DCC0FAB"/>
    <w:p w14:paraId="0A310F20"/>
    <w:p w14:paraId="3AB3755B"/>
    <w:p w14:paraId="3C7DAC0E"/>
    <w:p w14:paraId="522A020D"/>
    <w:p w14:paraId="60FA96A0"/>
    <w:p w14:paraId="3A72B0E1"/>
    <w:p w14:paraId="31D4C4A8"/>
    <w:p w14:paraId="4C655F0E"/>
    <w:p w14:paraId="620B7B6B"/>
    <w:p w14:paraId="00780660"/>
    <w:p w14:paraId="39A64278"/>
    <w:p w14:paraId="1F5BA344">
      <w:pPr>
        <w:pStyle w:val="4"/>
        <w:adjustRightInd w:val="0"/>
        <w:snapToGrid w:val="0"/>
        <w:spacing w:line="560" w:lineRule="exact"/>
        <w:jc w:val="center"/>
        <w:rPr>
          <w:rFonts w:ascii="TimesNewRoman" w:hAnsi="TimesNewRoman" w:eastAsia="黑体" w:cs="TimesNewRoman"/>
          <w:bCs/>
          <w:sz w:val="44"/>
          <w:szCs w:val="44"/>
        </w:rPr>
      </w:pPr>
    </w:p>
    <w:p w14:paraId="6478A37D">
      <w:pPr>
        <w:pStyle w:val="4"/>
        <w:adjustRightInd w:val="0"/>
        <w:snapToGrid w:val="0"/>
        <w:spacing w:line="560" w:lineRule="exact"/>
        <w:jc w:val="center"/>
        <w:rPr>
          <w:rFonts w:ascii="TimesNewRoman" w:hAnsi="TimesNewRoman" w:eastAsia="黑体" w:cs="TimesNewRoman"/>
          <w:bCs/>
          <w:sz w:val="44"/>
          <w:szCs w:val="44"/>
        </w:rPr>
      </w:pPr>
      <w:r>
        <w:rPr>
          <w:rFonts w:hint="eastAsia" w:ascii="TimesNewRoman" w:hAnsi="TimesNewRoman" w:eastAsia="黑体" w:cs="TimesNewRoman"/>
          <w:bCs/>
          <w:sz w:val="44"/>
          <w:szCs w:val="44"/>
        </w:rPr>
        <w:t>2024年</w:t>
      </w:r>
      <w:r>
        <w:rPr>
          <w:rFonts w:hint="eastAsia" w:ascii="TimesNewRoman" w:hAnsi="TimesNewRoman" w:eastAsia="黑体" w:cs="TimesNewRoman"/>
          <w:bCs/>
          <w:sz w:val="44"/>
          <w:szCs w:val="44"/>
          <w:lang w:val="en-US" w:eastAsia="zh-CN"/>
        </w:rPr>
        <w:t>2</w:t>
      </w:r>
      <w:r>
        <w:rPr>
          <w:rFonts w:hint="eastAsia" w:ascii="TimesNewRoman" w:hAnsi="TimesNewRoman" w:eastAsia="黑体" w:cs="TimesNewRoman"/>
          <w:bCs/>
          <w:sz w:val="44"/>
          <w:szCs w:val="44"/>
        </w:rPr>
        <w:t>月</w:t>
      </w:r>
    </w:p>
    <w:p w14:paraId="607C5ABA"/>
    <w:p w14:paraId="38DE674D"/>
    <w:p w14:paraId="5F78C24E">
      <w:pPr>
        <w:pStyle w:val="4"/>
        <w:adjustRightInd w:val="0"/>
        <w:snapToGrid w:val="0"/>
        <w:spacing w:line="560" w:lineRule="exact"/>
        <w:jc w:val="center"/>
        <w:rPr>
          <w:rFonts w:ascii="TimesNewRoman" w:hAnsi="TimesNewRoman" w:eastAsia="黑体" w:cs="TimesNewRoman"/>
          <w:bCs/>
          <w:sz w:val="44"/>
          <w:szCs w:val="44"/>
        </w:rPr>
      </w:pPr>
      <w:r>
        <w:rPr>
          <w:rFonts w:hint="eastAsia" w:ascii="TimesNewRoman" w:hAnsi="TimesNewRoman" w:eastAsia="黑体" w:cs="TimesNewRoman"/>
          <w:bCs/>
          <w:sz w:val="44"/>
          <w:szCs w:val="44"/>
        </w:rPr>
        <w:t>目  录</w:t>
      </w:r>
    </w:p>
    <w:p w14:paraId="2BE32FEC"/>
    <w:p w14:paraId="18D1FE7B">
      <w:pPr>
        <w:pStyle w:val="4"/>
        <w:adjustRightInd w:val="0"/>
        <w:snapToGrid w:val="0"/>
        <w:spacing w:line="400" w:lineRule="exact"/>
        <w:ind w:firstLine="643" w:firstLineChars="200"/>
        <w:rPr>
          <w:rFonts w:ascii="TimesNewRoman" w:hAnsi="TimesNewRoman" w:eastAsia="仿宋_GB2312" w:cs="TimesNewRoman"/>
          <w:b/>
          <w:sz w:val="32"/>
          <w:szCs w:val="32"/>
        </w:rPr>
      </w:pPr>
      <w:r>
        <w:rPr>
          <w:rFonts w:hint="eastAsia" w:ascii="TimesNewRoman" w:hAnsi="TimesNewRoman" w:eastAsia="仿宋_GB2312" w:cs="TimesNewRoman"/>
          <w:b/>
          <w:sz w:val="32"/>
          <w:szCs w:val="32"/>
        </w:rPr>
        <w:t>第一部分 部门概况</w:t>
      </w:r>
    </w:p>
    <w:p w14:paraId="21451C4C">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1、主要职责</w:t>
      </w:r>
    </w:p>
    <w:p w14:paraId="662BC63B">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2、部门预算构成</w:t>
      </w:r>
    </w:p>
    <w:p w14:paraId="2276D0EB">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3 、2024年度主要工作任务</w:t>
      </w:r>
    </w:p>
    <w:p w14:paraId="718BD23B">
      <w:pPr>
        <w:pStyle w:val="4"/>
        <w:adjustRightInd w:val="0"/>
        <w:snapToGrid w:val="0"/>
        <w:spacing w:line="400" w:lineRule="exact"/>
        <w:ind w:firstLine="643" w:firstLineChars="200"/>
        <w:rPr>
          <w:rFonts w:ascii="TimesNewRoman" w:hAnsi="TimesNewRoman" w:eastAsia="仿宋_GB2312" w:cs="TimesNewRoman"/>
          <w:b/>
          <w:sz w:val="32"/>
          <w:szCs w:val="32"/>
        </w:rPr>
      </w:pPr>
      <w:r>
        <w:rPr>
          <w:rFonts w:hint="eastAsia" w:ascii="TimesNewRoman" w:hAnsi="TimesNewRoman" w:eastAsia="仿宋_GB2312" w:cs="TimesNewRoman"/>
          <w:b/>
          <w:sz w:val="32"/>
          <w:szCs w:val="32"/>
        </w:rPr>
        <w:t>第二部分 2024年部门预算表</w:t>
      </w:r>
    </w:p>
    <w:p w14:paraId="5F04BA94">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1、淮北市市场监督管理局2024年收支总表</w:t>
      </w:r>
    </w:p>
    <w:p w14:paraId="1E4A2722">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2、淮北市市场监督管理局2024年收入总表</w:t>
      </w:r>
    </w:p>
    <w:p w14:paraId="4238CD07">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3、淮北市市场监督管理局2024年支出总表</w:t>
      </w:r>
    </w:p>
    <w:p w14:paraId="6665C524">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4、淮北市市场监督管理局2024年财政拨款收支总表</w:t>
      </w:r>
    </w:p>
    <w:p w14:paraId="421DA071">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5、淮北市市场监督管理局2024年一般公共预算支出表</w:t>
      </w:r>
    </w:p>
    <w:p w14:paraId="5FEF49B7">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6、淮北市市场监督管理局2024年一般公共预算基本支出表</w:t>
      </w:r>
    </w:p>
    <w:p w14:paraId="2D62C1AC">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7、淮北市市场监督管理局2024年政府性基金预算支出表</w:t>
      </w:r>
    </w:p>
    <w:p w14:paraId="3D8D21CB">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8、淮北市市场监督管理局2024年国有资本经营预算支出表</w:t>
      </w:r>
    </w:p>
    <w:p w14:paraId="6DDEB3D6">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9、淮北市市场监督管理局2024年项目支出表</w:t>
      </w:r>
    </w:p>
    <w:p w14:paraId="615B97EF">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10、淮北市市场监督管理局2024年政府采购支出表</w:t>
      </w:r>
    </w:p>
    <w:p w14:paraId="1666132B">
      <w:pPr>
        <w:pStyle w:val="4"/>
        <w:adjustRightInd w:val="0"/>
        <w:snapToGrid w:val="0"/>
        <w:spacing w:line="400" w:lineRule="exact"/>
        <w:ind w:firstLine="800" w:firstLineChars="250"/>
        <w:rPr>
          <w:rFonts w:hint="eastAsia" w:ascii="TimesNewRoman" w:hAnsi="TimesNewRoman" w:eastAsia="仿宋_GB2312" w:cs="TimesNewRoman"/>
          <w:bCs/>
          <w:sz w:val="32"/>
          <w:szCs w:val="32"/>
        </w:rPr>
      </w:pPr>
      <w:r>
        <w:rPr>
          <w:rFonts w:hint="eastAsia" w:ascii="TimesNewRoman" w:hAnsi="TimesNewRoman" w:eastAsia="仿宋_GB2312" w:cs="TimesNewRoman"/>
          <w:bCs/>
          <w:sz w:val="32"/>
          <w:szCs w:val="32"/>
        </w:rPr>
        <w:t>11、淮北市市场监督管理局2024年政府购买服务支出表</w:t>
      </w:r>
    </w:p>
    <w:p w14:paraId="67B88E92">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12、淮北市市场监督管理局</w:t>
      </w:r>
      <w:r>
        <w:rPr>
          <w:rFonts w:ascii="TimesNewRoman" w:hAnsi="TimesNewRoman" w:eastAsia="仿宋_GB2312" w:cs="TimesNewRoman"/>
          <w:bCs/>
          <w:sz w:val="32"/>
          <w:szCs w:val="32"/>
        </w:rPr>
        <w:t>2024年通用资产配置支出表</w:t>
      </w:r>
    </w:p>
    <w:p w14:paraId="7B76ADDD">
      <w:pPr>
        <w:pStyle w:val="4"/>
        <w:adjustRightInd w:val="0"/>
        <w:snapToGrid w:val="0"/>
        <w:spacing w:line="400" w:lineRule="exact"/>
        <w:ind w:firstLine="643" w:firstLineChars="200"/>
        <w:rPr>
          <w:rFonts w:ascii="TimesNewRoman" w:hAnsi="TimesNewRoman" w:eastAsia="仿宋_GB2312" w:cs="TimesNewRoman"/>
          <w:b/>
          <w:sz w:val="32"/>
          <w:szCs w:val="32"/>
        </w:rPr>
      </w:pPr>
      <w:r>
        <w:rPr>
          <w:rFonts w:hint="eastAsia" w:ascii="TimesNewRoman" w:hAnsi="TimesNewRoman" w:eastAsia="仿宋_GB2312" w:cs="TimesNewRoman"/>
          <w:b/>
          <w:sz w:val="32"/>
          <w:szCs w:val="32"/>
        </w:rPr>
        <w:t>第三部分 2024年部门预算情况说明</w:t>
      </w:r>
    </w:p>
    <w:p w14:paraId="68079885">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1、关于2024年收支总表的说明</w:t>
      </w:r>
    </w:p>
    <w:p w14:paraId="24D58EEE">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2、关于2024年收入总表的说明</w:t>
      </w:r>
    </w:p>
    <w:p w14:paraId="04F2A960">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3、关于2024年支出总表的说明</w:t>
      </w:r>
    </w:p>
    <w:p w14:paraId="1423A435">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4、关于2024年财政拨款收支总表的说明</w:t>
      </w:r>
    </w:p>
    <w:p w14:paraId="2F4CD325">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5、关于2024年一般公共预算支出表的说明</w:t>
      </w:r>
    </w:p>
    <w:p w14:paraId="79990273">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6、关于2024年一般公共预算基本支出表的说明</w:t>
      </w:r>
    </w:p>
    <w:p w14:paraId="3B9602F6">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7、关于2024年政府性基金预算支出表的说明</w:t>
      </w:r>
    </w:p>
    <w:p w14:paraId="62291E50">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8、关于2024年国有资本经营预算支出表的说明</w:t>
      </w:r>
    </w:p>
    <w:p w14:paraId="6CB3EC71">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9、关于2024年项目支出表的说明</w:t>
      </w:r>
    </w:p>
    <w:p w14:paraId="15CE1793">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10、关于2024年政府采购支出表的说明</w:t>
      </w:r>
    </w:p>
    <w:p w14:paraId="4DEEE7FD">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11、关于2024年政府购买服务支出表的说明</w:t>
      </w:r>
    </w:p>
    <w:p w14:paraId="68FA4D42">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12、其他重要事项情况说明</w:t>
      </w:r>
    </w:p>
    <w:p w14:paraId="46D7EC07">
      <w:pPr>
        <w:pStyle w:val="4"/>
        <w:adjustRightInd w:val="0"/>
        <w:snapToGrid w:val="0"/>
        <w:spacing w:line="400" w:lineRule="exact"/>
        <w:ind w:firstLine="643" w:firstLineChars="200"/>
        <w:rPr>
          <w:rFonts w:ascii="TimesNewRoman" w:hAnsi="TimesNewRoman" w:eastAsia="仿宋_GB2312" w:cs="TimesNewRoman"/>
          <w:b/>
          <w:sz w:val="32"/>
          <w:szCs w:val="32"/>
        </w:rPr>
      </w:pPr>
      <w:r>
        <w:rPr>
          <w:rFonts w:hint="eastAsia" w:ascii="TimesNewRoman" w:hAnsi="TimesNewRoman" w:eastAsia="仿宋_GB2312" w:cs="TimesNewRoman"/>
          <w:b/>
          <w:sz w:val="32"/>
          <w:szCs w:val="32"/>
        </w:rPr>
        <w:t>第四部分 名词解释</w:t>
      </w:r>
    </w:p>
    <w:p w14:paraId="14BAF6C4">
      <w:pPr>
        <w:pStyle w:val="4"/>
        <w:adjustRightInd w:val="0"/>
        <w:snapToGrid w:val="0"/>
        <w:spacing w:line="400" w:lineRule="exact"/>
        <w:ind w:firstLine="643" w:firstLineChars="200"/>
        <w:rPr>
          <w:rFonts w:ascii="TimesNewRoman" w:hAnsi="TimesNewRoman" w:eastAsia="仿宋_GB2312" w:cs="TimesNewRoman"/>
          <w:b/>
          <w:sz w:val="32"/>
          <w:szCs w:val="32"/>
        </w:rPr>
      </w:pPr>
      <w:r>
        <w:rPr>
          <w:rFonts w:hint="eastAsia" w:ascii="TimesNewRoman" w:hAnsi="TimesNewRoman" w:eastAsia="仿宋_GB2312" w:cs="TimesNewRoman"/>
          <w:b/>
          <w:sz w:val="32"/>
          <w:szCs w:val="32"/>
        </w:rPr>
        <w:t>第五部分 其它公开事项</w:t>
      </w:r>
    </w:p>
    <w:p w14:paraId="1B1BC17A">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1、淮北市市场监督管理局2024年部门预算纳入绩效考评项目表</w:t>
      </w:r>
    </w:p>
    <w:p w14:paraId="32EEB426">
      <w:pPr>
        <w:pStyle w:val="4"/>
        <w:adjustRightInd w:val="0"/>
        <w:snapToGrid w:val="0"/>
        <w:spacing w:line="400" w:lineRule="exact"/>
        <w:ind w:firstLine="800" w:firstLineChars="250"/>
        <w:rPr>
          <w:rFonts w:ascii="TimesNewRoman" w:hAnsi="TimesNewRoman" w:eastAsia="仿宋_GB2312" w:cs="TimesNewRoman"/>
          <w:bCs/>
          <w:sz w:val="32"/>
          <w:szCs w:val="32"/>
        </w:rPr>
      </w:pPr>
      <w:r>
        <w:rPr>
          <w:rFonts w:hint="eastAsia" w:ascii="TimesNewRoman" w:hAnsi="TimesNewRoman" w:eastAsia="仿宋_GB2312" w:cs="TimesNewRoman"/>
          <w:bCs/>
          <w:sz w:val="32"/>
          <w:szCs w:val="32"/>
        </w:rPr>
        <w:t>2、淮北市市场监督管理局2024年部门预算专项资金管理清单（专栏公开）</w:t>
      </w:r>
    </w:p>
    <w:p w14:paraId="55EBC4A7">
      <w:pPr>
        <w:pStyle w:val="4"/>
        <w:adjustRightInd w:val="0"/>
        <w:snapToGrid w:val="0"/>
        <w:spacing w:line="400" w:lineRule="exact"/>
        <w:ind w:firstLine="800" w:firstLineChars="250"/>
        <w:rPr>
          <w:rFonts w:ascii="TimesNewRoman" w:hAnsi="TimesNewRoman" w:eastAsia="仿宋_GB2312" w:cs="TimesNewRoman"/>
          <w:bCs/>
          <w:sz w:val="32"/>
          <w:szCs w:val="32"/>
        </w:rPr>
      </w:pPr>
    </w:p>
    <w:p w14:paraId="763906ED">
      <w:pPr>
        <w:pStyle w:val="4"/>
        <w:adjustRightInd w:val="0"/>
        <w:snapToGrid w:val="0"/>
        <w:spacing w:line="560" w:lineRule="exact"/>
        <w:jc w:val="center"/>
        <w:rPr>
          <w:rFonts w:ascii="TimesNewRoman" w:hAnsi="TimesNewRoman" w:eastAsia="黑体" w:cs="TimesNewRoman"/>
          <w:bCs/>
          <w:sz w:val="36"/>
          <w:szCs w:val="36"/>
        </w:rPr>
      </w:pPr>
      <w:r>
        <w:rPr>
          <w:rFonts w:hint="eastAsia" w:ascii="TimesNewRoman" w:hAnsi="TimesNewRoman" w:eastAsia="黑体" w:cs="TimesNewRoman"/>
          <w:bCs/>
          <w:sz w:val="36"/>
          <w:szCs w:val="36"/>
        </w:rPr>
        <w:t>第一部分 部门概况</w:t>
      </w:r>
    </w:p>
    <w:p w14:paraId="0FE25541"/>
    <w:p w14:paraId="14A676DF">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一、主要职责</w:t>
      </w:r>
    </w:p>
    <w:p w14:paraId="5E76CAED">
      <w:pPr>
        <w:keepNext w:val="0"/>
        <w:keepLines w:val="0"/>
        <w:pageBreakBefore w:val="0"/>
        <w:tabs>
          <w:tab w:val="left" w:pos="3405"/>
        </w:tabs>
        <w:kinsoku/>
        <w:wordWrap/>
        <w:overflowPunct/>
        <w:autoSpaceDE/>
        <w:autoSpaceDN/>
        <w:bidi w:val="0"/>
        <w:spacing w:beforeAutospacing="0" w:afterAutospacing="0" w:line="520" w:lineRule="exact"/>
        <w:ind w:firstLine="640" w:firstLineChars="200"/>
        <w:jc w:val="left"/>
        <w:textAlignment w:val="auto"/>
        <w:rPr>
          <w:rFonts w:hint="eastAsia" w:ascii="仿宋_GB2312" w:eastAsia="仿宋_GB2312"/>
          <w:color w:val="000000"/>
          <w:sz w:val="32"/>
          <w:szCs w:val="32"/>
        </w:rPr>
      </w:pPr>
      <w:r>
        <w:rPr>
          <w:rFonts w:hint="eastAsia" w:ascii="仿宋_GB2312" w:eastAsia="仿宋_GB2312"/>
          <w:color w:val="000000"/>
          <w:sz w:val="32"/>
          <w:szCs w:val="32"/>
        </w:rPr>
        <w:t>根据《中共淮北市委办公室  淮北市人民政府办公室关于印发市科学技术局等12家单位“三定”规定和调整市交通运输局等10家单位机构编制事项的通知》（办〔2019〕19号）规定，淮北市市场监督管理局主要职责是：</w:t>
      </w:r>
    </w:p>
    <w:p w14:paraId="6675042C">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（一）负责市场综合监督管理，负责保护知识产权。</w:t>
      </w:r>
      <w:r>
        <w:rPr>
          <w:rFonts w:hint="eastAsia" w:ascii="仿宋_GB2312" w:hAnsi="仿宋_GB2312" w:eastAsia="仿宋_GB2312" w:cs="仿宋_GB2312"/>
          <w:color w:val="0C0C0C"/>
          <w:sz w:val="32"/>
          <w:szCs w:val="32"/>
        </w:rPr>
        <w:t>贯彻执行国家市场监督管理、知识产权工作法律法规规章和方针政策，起草有关地方性法规规章草案，组织实施质量强市战略、食品安全战略、药品（含中药、民族药，下同）、医疗器械和化妆品安全战略、标准化战略和知识产权战略等，拟订相关规划并组织实施，规范和维护市场秩序，营造诚实守信、公平竞争的市场环境，强化知识产权创造、保护和运用。</w:t>
      </w:r>
    </w:p>
    <w:p w14:paraId="27521976">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（二）负责市场主体统一登记注册。</w:t>
      </w:r>
      <w:r>
        <w:rPr>
          <w:rFonts w:hint="eastAsia" w:ascii="仿宋_GB2312" w:hAnsi="仿宋_GB2312" w:eastAsia="仿宋_GB2312" w:cs="仿宋_GB2312"/>
          <w:color w:val="0C0C0C"/>
          <w:sz w:val="32"/>
          <w:szCs w:val="32"/>
        </w:rPr>
        <w:t>负责各类企业、农民专业合作社和从事经营活动的单位、个体工商户以及外国（地区）企业等市场主体的登记注册和监督管理工作。建立市场主体信息公示和共享机制，依法公示和共享有关信息，加强信用监管，推动市场主体信用体系建设。</w:t>
      </w:r>
    </w:p>
    <w:p w14:paraId="65AADC45">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（三）负责组织和指导市场监管综合执法工作。</w:t>
      </w:r>
      <w:r>
        <w:rPr>
          <w:rFonts w:hint="eastAsia" w:ascii="仿宋_GB2312" w:hAnsi="仿宋_GB2312" w:eastAsia="仿宋_GB2312" w:cs="仿宋_GB2312"/>
          <w:color w:val="0C0C0C"/>
          <w:sz w:val="32"/>
          <w:szCs w:val="32"/>
        </w:rPr>
        <w:t>指导全市市场监管综合执法队伍整合和建设，推动实行统一的市场监管。组织指导查处违法案件。规范市场监管行政执法行为。</w:t>
      </w:r>
    </w:p>
    <w:p w14:paraId="25906E73">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（四）负责反垄断统一执法。</w:t>
      </w:r>
      <w:r>
        <w:rPr>
          <w:rFonts w:hint="eastAsia" w:ascii="仿宋_GB2312" w:hAnsi="仿宋_GB2312" w:eastAsia="仿宋_GB2312" w:cs="仿宋_GB2312"/>
          <w:color w:val="0C0C0C"/>
          <w:sz w:val="32"/>
          <w:szCs w:val="32"/>
        </w:rPr>
        <w:t>统筹推进竞争政策实施，组织实施公平竞争审查制度。根据授权承担有关反垄断调查和执法工作。</w:t>
      </w:r>
    </w:p>
    <w:p w14:paraId="11B73867">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（五）负责监督管理市场秩序。</w:t>
      </w:r>
      <w:r>
        <w:rPr>
          <w:rFonts w:hint="eastAsia" w:ascii="仿宋_GB2312" w:hAnsi="仿宋_GB2312" w:eastAsia="仿宋_GB2312" w:cs="仿宋_GB2312"/>
          <w:color w:val="0C0C0C"/>
          <w:sz w:val="32"/>
          <w:szCs w:val="32"/>
        </w:rPr>
        <w:t>依法监督管理市场交易、网络商品交易、合同、拍卖及有关服务的行为。管理动产抵押物登记。组织指导查处价格收费违法违规、不正当竞争、违法直销、传销、走私、侵犯商标专利知识产权和制售假冒伪劣行为等。指导广告业发展，监督管理广告活动。指导查处无照生产经营和相关无证生产经营行为。指导淮北市消费者权益保护委员会开展消费维权工作。</w:t>
      </w:r>
    </w:p>
    <w:p w14:paraId="6E68C56A">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（六）负责宏观质量管理。</w:t>
      </w:r>
      <w:r>
        <w:rPr>
          <w:rFonts w:hint="eastAsia" w:ascii="仿宋_GB2312" w:hAnsi="仿宋_GB2312" w:eastAsia="仿宋_GB2312" w:cs="仿宋_GB2312"/>
          <w:color w:val="0C0C0C"/>
          <w:sz w:val="32"/>
          <w:szCs w:val="32"/>
        </w:rPr>
        <w:t>拟订并实施质量发展措施，组织实施质量强市工作。统筹全市质量基础设施建设与应用，会同有关部门组织实施重大工程设备质量监理制度，组织重大质量事故调查，组织实施缺陷产品召回制度，监督管理产品防伪工作。</w:t>
      </w:r>
    </w:p>
    <w:p w14:paraId="6CABB399">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（七）负责产品质量安全监督管理。</w:t>
      </w:r>
      <w:r>
        <w:rPr>
          <w:rFonts w:hint="eastAsia" w:ascii="仿宋_GB2312" w:hAnsi="仿宋_GB2312" w:eastAsia="仿宋_GB2312" w:cs="仿宋_GB2312"/>
          <w:color w:val="0C0C0C"/>
          <w:sz w:val="32"/>
          <w:szCs w:val="32"/>
        </w:rPr>
        <w:t>管理产品质量安全风险监控、监督抽查工作。建立并组织实施质量分级制度、质量安全追溯制度。负责工业产品生产许可工作。负责纤维质量监督工作。</w:t>
      </w:r>
    </w:p>
    <w:p w14:paraId="7DC8233C">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（八）负责特种设备安全监督管理。</w:t>
      </w:r>
      <w:r>
        <w:rPr>
          <w:rFonts w:hint="eastAsia" w:ascii="仿宋_GB2312" w:hAnsi="仿宋_GB2312" w:eastAsia="仿宋_GB2312" w:cs="仿宋_GB2312"/>
          <w:color w:val="0C0C0C"/>
          <w:sz w:val="32"/>
          <w:szCs w:val="32"/>
        </w:rPr>
        <w:t>综合管理特种设备安全监察、监督工作，监督检查高耗能特种设备节能标准和锅炉环境保护标准的执行情况。按权限承担特种设备事故的调查处理工作。</w:t>
      </w:r>
    </w:p>
    <w:p w14:paraId="17AF7475">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（九）负责食品安全监督管理综合协调。</w:t>
      </w:r>
      <w:r>
        <w:rPr>
          <w:rFonts w:hint="eastAsia" w:ascii="仿宋_GB2312" w:hAnsi="仿宋_GB2312" w:eastAsia="仿宋_GB2312" w:cs="仿宋_GB2312"/>
          <w:color w:val="0C0C0C"/>
          <w:sz w:val="32"/>
          <w:szCs w:val="32"/>
        </w:rPr>
        <w:t>负责食品安全应急体系建设，组织指导重大食品安全事件应急处置和调查处理工作。落实食品安全重要信息直报制度。承担市食品安全委员会日常工作。</w:t>
      </w:r>
    </w:p>
    <w:p w14:paraId="49A0F300">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（十）负责食品安全监督管理。</w:t>
      </w:r>
      <w:r>
        <w:rPr>
          <w:rFonts w:hint="eastAsia" w:ascii="仿宋_GB2312" w:hAnsi="仿宋_GB2312" w:eastAsia="仿宋_GB2312" w:cs="仿宋_GB2312"/>
          <w:color w:val="0C0C0C"/>
          <w:sz w:val="32"/>
          <w:szCs w:val="32"/>
        </w:rPr>
        <w:t>建立并组织实施覆盖食品生产、流通、消费全过程的监督检查制度和隐患排查治理机制，防范区域性、系统性食品安全风险。推动建立食品生产经营者落实主体责任的机制，健全食品安全追溯体系。组织开展食品安全监督抽检、风险监测、核查处置和风险预警、风险交流工作。组织实施全市特殊食品监督管理。</w:t>
      </w:r>
    </w:p>
    <w:p w14:paraId="56EF1C4D">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（十一）负责药品、医疗器械和化妆品安全监督管理。</w:t>
      </w:r>
      <w:r>
        <w:rPr>
          <w:rFonts w:hint="eastAsia" w:ascii="仿宋_GB2312" w:hAnsi="仿宋_GB2312" w:eastAsia="仿宋_GB2312" w:cs="仿宋_GB2312"/>
          <w:color w:val="0C0C0C"/>
          <w:sz w:val="32"/>
          <w:szCs w:val="32"/>
        </w:rPr>
        <w:t>贯彻执行国家药品、医疗器械和化妆品的法律法规规章和政策规划。贯彻执行国家药典等药品、医疗器械和化妆品标准。监督实施药品、医疗器械和化妆品经营、使用质量管理规范。实施分类管理制度。配合实施国家基本药物制度。配合推进医药卫生体制改革工作。</w:t>
      </w:r>
    </w:p>
    <w:p w14:paraId="2EF4656C">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（十二）负责药品、医疗器械和化妆品上市后风险管理。</w:t>
      </w:r>
      <w:r>
        <w:rPr>
          <w:rFonts w:hint="eastAsia" w:ascii="仿宋_GB2312" w:hAnsi="仿宋_GB2312" w:eastAsia="仿宋_GB2312" w:cs="仿宋_GB2312"/>
          <w:color w:val="0C0C0C"/>
          <w:sz w:val="32"/>
          <w:szCs w:val="32"/>
        </w:rPr>
        <w:t>组织开展药品不良反应、医疗器械不良事件和化妆品不良反应的监测、评价和处置工作。依法承担药品、医疗器械和化妆品安全应急管理工作。负责监测药物滥用的技术工作。</w:t>
      </w:r>
    </w:p>
    <w:p w14:paraId="1768BA7D">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（十三）负责组织实施药品、医疗器械和化妆品监督检查。</w:t>
      </w:r>
      <w:r>
        <w:rPr>
          <w:rFonts w:hint="eastAsia" w:ascii="仿宋_GB2312" w:hAnsi="仿宋_GB2312" w:eastAsia="仿宋_GB2312" w:cs="仿宋_GB2312"/>
          <w:color w:val="0C0C0C"/>
          <w:sz w:val="32"/>
          <w:szCs w:val="32"/>
        </w:rPr>
        <w:t>制定检查制度，组织指导查处药品、医疗器械和化妆品经营、使用等环节违法行为，监督实施问题产品召回和处置制度。贯彻执行执业药师资格准入制度，配合省药品监督管理局组织实施执业药师注册工作。</w:t>
      </w:r>
    </w:p>
    <w:p w14:paraId="224A3D18">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（十四）负责统一管理计量工作。</w:t>
      </w:r>
      <w:r>
        <w:rPr>
          <w:rFonts w:hint="eastAsia" w:ascii="仿宋_GB2312" w:hAnsi="仿宋_GB2312" w:eastAsia="仿宋_GB2312" w:cs="仿宋_GB2312"/>
          <w:color w:val="0C0C0C"/>
          <w:sz w:val="32"/>
          <w:szCs w:val="32"/>
        </w:rPr>
        <w:t>推行法定计量单位和国家计量制度，管理计量器具及量值传递和比对工作。组织计量仲裁检定，规范、监督商品量和市场计量行为。</w:t>
      </w:r>
    </w:p>
    <w:p w14:paraId="247E23AB">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（十五）负责统一管理标准化工作。</w:t>
      </w:r>
      <w:r>
        <w:rPr>
          <w:rFonts w:hint="eastAsia" w:ascii="仿宋_GB2312" w:hAnsi="仿宋_GB2312" w:eastAsia="仿宋_GB2312" w:cs="仿宋_GB2312"/>
          <w:color w:val="0C0C0C"/>
          <w:sz w:val="32"/>
          <w:szCs w:val="32"/>
        </w:rPr>
        <w:t>依据法定职责监督国家标准、行业标准和地方标准的贯彻实施。依法承担地方标准立项、统一审批、编号、发布和上报备案工作。依法协调指导和监督有关地方标准、团体标准、企业标准制定工作。监督管理商品条码工作。开展标准化对外合作和参与制定、采用国际标准工作。</w:t>
      </w:r>
    </w:p>
    <w:p w14:paraId="4801C69E">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（十六）负责统一管理检验检测工作。</w:t>
      </w:r>
      <w:r>
        <w:rPr>
          <w:rFonts w:hint="eastAsia" w:ascii="仿宋_GB2312" w:hAnsi="仿宋_GB2312" w:eastAsia="仿宋_GB2312" w:cs="仿宋_GB2312"/>
          <w:color w:val="0C0C0C"/>
          <w:sz w:val="32"/>
          <w:szCs w:val="32"/>
        </w:rPr>
        <w:t>推进检验检测机构改革，规范检验检测市场，完善检验检测体系，指导协调检验检测行业发展。</w:t>
      </w:r>
    </w:p>
    <w:p w14:paraId="016A39C1">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（十七）负责统一管理、监督和综合协调全市认证认可工作。</w:t>
      </w:r>
      <w:r>
        <w:rPr>
          <w:rFonts w:hint="eastAsia" w:ascii="仿宋_GB2312" w:hAnsi="仿宋_GB2312" w:eastAsia="仿宋_GB2312" w:cs="仿宋_GB2312"/>
          <w:color w:val="0C0C0C"/>
          <w:sz w:val="32"/>
          <w:szCs w:val="32"/>
        </w:rPr>
        <w:t>负责实施国家统一的认证认可和合格评定监督管理制度。</w:t>
      </w:r>
    </w:p>
    <w:p w14:paraId="2CC6213C">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（十八）负责实施严格保护商标、专利、原产地地理标志、集成电路布图设计等知识产权制度。</w:t>
      </w:r>
      <w:r>
        <w:rPr>
          <w:rFonts w:hint="eastAsia" w:ascii="仿宋_GB2312" w:hAnsi="仿宋_GB2312" w:eastAsia="仿宋_GB2312" w:cs="仿宋_GB2312"/>
          <w:color w:val="0C0C0C"/>
          <w:sz w:val="32"/>
          <w:szCs w:val="32"/>
        </w:rPr>
        <w:t>贯彻落实鼓励新领域、新业态、新模式创新的知识产权保护、管理和服务政策。推动建设知识产权保护体系。负责实施原产地地理标志统一认定制度。负责促进知识产权运用，建立知识产权公共服务体系。</w:t>
      </w:r>
    </w:p>
    <w:p w14:paraId="3A6B913F">
      <w:pPr>
        <w:keepNext w:val="0"/>
        <w:keepLines w:val="0"/>
        <w:pageBreakBefore w:val="0"/>
        <w:kinsoku/>
        <w:wordWrap/>
        <w:overflowPunct/>
        <w:topLinePunct/>
        <w:autoSpaceDE/>
        <w:autoSpaceDN/>
        <w:bidi w:val="0"/>
        <w:spacing w:beforeAutospacing="0" w:afterAutospacing="0" w:line="520" w:lineRule="exact"/>
        <w:ind w:firstLine="640" w:firstLineChars="200"/>
        <w:textAlignment w:val="auto"/>
        <w:rPr>
          <w:rFonts w:hint="eastAsia" w:ascii="仿宋_GB2312" w:hAnsi="仿宋_GB2312" w:eastAsia="仿宋_GB2312" w:cs="仿宋_GB2312"/>
          <w:color w:val="0C0C0C"/>
          <w:sz w:val="32"/>
          <w:szCs w:val="32"/>
        </w:rPr>
      </w:pPr>
      <w:r>
        <w:rPr>
          <w:rFonts w:hint="eastAsia" w:ascii="楷体_GB2312" w:hAnsi="楷体_GB2312" w:eastAsia="楷体_GB2312" w:cs="楷体_GB2312"/>
          <w:color w:val="0C0C0C"/>
          <w:sz w:val="32"/>
          <w:szCs w:val="32"/>
        </w:rPr>
        <w:t>（十九）负责市场监督管理、知识产权相关科技和信息化建设、新闻宣传、对外交流与合作。</w:t>
      </w:r>
      <w:r>
        <w:rPr>
          <w:rFonts w:hint="eastAsia" w:ascii="仿宋_GB2312" w:hAnsi="仿宋_GB2312" w:eastAsia="仿宋_GB2312" w:cs="仿宋_GB2312"/>
          <w:color w:val="0C0C0C"/>
          <w:sz w:val="32"/>
          <w:szCs w:val="32"/>
        </w:rPr>
        <w:t>按规定承担技术性贸易措施有关工作。</w:t>
      </w:r>
    </w:p>
    <w:p w14:paraId="787B8487">
      <w:pPr>
        <w:pStyle w:val="4"/>
        <w:adjustRightInd w:val="0"/>
        <w:snapToGrid w:val="0"/>
        <w:spacing w:line="560" w:lineRule="exact"/>
        <w:ind w:firstLine="627" w:firstLineChars="196"/>
        <w:rPr>
          <w:rFonts w:hint="eastAsia" w:ascii="楷体_GB2312" w:hAnsi="楷体_GB2312" w:eastAsia="楷体_GB2312" w:cs="楷体_GB2312"/>
          <w:color w:val="0C0C0C"/>
          <w:sz w:val="32"/>
          <w:szCs w:val="32"/>
        </w:rPr>
      </w:pPr>
      <w:r>
        <w:rPr>
          <w:rFonts w:hint="eastAsia" w:ascii="楷体_GB2312" w:hAnsi="楷体_GB2312" w:eastAsia="楷体_GB2312" w:cs="楷体_GB2312"/>
          <w:color w:val="0C0C0C"/>
          <w:sz w:val="32"/>
          <w:szCs w:val="32"/>
        </w:rPr>
        <w:t>（二十）完成市委、市政府交办的其他任务。</w:t>
      </w:r>
    </w:p>
    <w:p w14:paraId="73ACF6E9">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二、部门预算构成</w:t>
      </w:r>
    </w:p>
    <w:p w14:paraId="37CB4835">
      <w:pPr>
        <w:pStyle w:val="4"/>
        <w:adjustRightInd w:val="0"/>
        <w:snapToGrid w:val="0"/>
        <w:spacing w:line="560" w:lineRule="exact"/>
        <w:ind w:firstLine="627" w:firstLineChars="196"/>
        <w:rPr>
          <w:rFonts w:hint="eastAsia" w:ascii="TimesNewRoman" w:hAnsi="TimesNewRoman" w:eastAsia="仿宋_GB2312" w:cs="TimesNewRoman"/>
          <w:sz w:val="32"/>
          <w:szCs w:val="32"/>
        </w:rPr>
      </w:pPr>
      <w:r>
        <w:rPr>
          <w:rFonts w:hint="eastAsia" w:ascii="TimesNewRoman" w:hAnsi="TimesNewRoman" w:eastAsia="仿宋_GB2312" w:cs="TimesNewRoman"/>
          <w:sz w:val="32"/>
          <w:szCs w:val="32"/>
        </w:rPr>
        <w:t>从预算单位构成看，淮北市场监督管理局2024年度部门预算包括</w:t>
      </w:r>
      <w:r>
        <w:rPr>
          <w:rFonts w:hint="eastAsia" w:ascii="TimesNewRoman" w:hAnsi="TimesNewRoman" w:eastAsia="仿宋_GB2312" w:cs="TimesNewRoman"/>
          <w:sz w:val="32"/>
          <w:szCs w:val="32"/>
          <w:lang w:val="en-US" w:eastAsia="zh-CN"/>
        </w:rPr>
        <w:t>局</w:t>
      </w:r>
      <w:r>
        <w:rPr>
          <w:rFonts w:hint="eastAsia" w:ascii="TimesNewRoman" w:hAnsi="TimesNewRoman" w:eastAsia="仿宋_GB2312" w:cs="TimesNewRoman"/>
          <w:sz w:val="32"/>
          <w:szCs w:val="32"/>
        </w:rPr>
        <w:t>本级</w:t>
      </w:r>
      <w:r>
        <w:rPr>
          <w:rFonts w:hint="eastAsia" w:ascii="TimesNewRoman" w:hAnsi="TimesNewRoman" w:eastAsia="仿宋_GB2312" w:cs="TimesNewRoman"/>
          <w:sz w:val="32"/>
          <w:szCs w:val="32"/>
          <w:lang w:val="en-US" w:eastAsia="zh-CN"/>
        </w:rPr>
        <w:t>预算</w:t>
      </w:r>
      <w:r>
        <w:rPr>
          <w:rFonts w:hint="eastAsia" w:ascii="TimesNewRoman" w:hAnsi="TimesNewRoman" w:eastAsia="仿宋_GB2312" w:cs="TimesNewRoman"/>
          <w:sz w:val="32"/>
          <w:szCs w:val="32"/>
        </w:rPr>
        <w:t>和局下属单位预算，纳入部门预算编制范围的单位共9个，具体情况见下表。</w:t>
      </w:r>
    </w:p>
    <w:tbl>
      <w:tblPr>
        <w:tblStyle w:val="5"/>
        <w:tblpPr w:leftFromText="180" w:rightFromText="180" w:vertAnchor="text" w:horzAnchor="page" w:tblpX="1776" w:tblpY="424"/>
        <w:tblOverlap w:val="never"/>
        <w:tblW w:w="9000" w:type="dxa"/>
        <w:tblInd w:w="0" w:type="dxa"/>
        <w:shd w:val="clear" w:color="auto" w:fill="FFFFFF"/>
        <w:tblLayout w:type="fixed"/>
        <w:tblCellMar>
          <w:top w:w="0" w:type="dxa"/>
          <w:left w:w="0" w:type="dxa"/>
          <w:bottom w:w="0" w:type="dxa"/>
          <w:right w:w="0" w:type="dxa"/>
        </w:tblCellMar>
      </w:tblPr>
      <w:tblGrid>
        <w:gridCol w:w="900"/>
        <w:gridCol w:w="3600"/>
        <w:gridCol w:w="4500"/>
      </w:tblGrid>
      <w:tr w14:paraId="6BC11100">
        <w:tblPrEx>
          <w:shd w:val="clear" w:color="auto" w:fill="FFFFFF"/>
          <w:tblCellMar>
            <w:top w:w="0" w:type="dxa"/>
            <w:left w:w="0" w:type="dxa"/>
            <w:bottom w:w="0" w:type="dxa"/>
            <w:right w:w="0" w:type="dxa"/>
          </w:tblCellMar>
        </w:tblPrEx>
        <w:trPr>
          <w:trHeight w:val="567" w:hRule="exact"/>
        </w:trPr>
        <w:tc>
          <w:tcPr>
            <w:tcW w:w="900" w:type="dxa"/>
            <w:tcBorders>
              <w:top w:val="single" w:color="auto" w:sz="8" w:space="0"/>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2F3CCBFE">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序号</w:t>
            </w:r>
          </w:p>
        </w:tc>
        <w:tc>
          <w:tcPr>
            <w:tcW w:w="3600" w:type="dxa"/>
            <w:tcBorders>
              <w:top w:val="single" w:color="auto" w:sz="8" w:space="0"/>
              <w:left w:val="nil"/>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F3A81D6">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单位名称</w:t>
            </w:r>
          </w:p>
        </w:tc>
        <w:tc>
          <w:tcPr>
            <w:tcW w:w="4500" w:type="dxa"/>
            <w:tcBorders>
              <w:top w:val="single" w:color="auto" w:sz="8" w:space="0"/>
              <w:left w:val="nil"/>
              <w:bottom w:val="single" w:color="auto" w:sz="8" w:space="0"/>
              <w:right w:val="single" w:color="auto" w:sz="8" w:space="0"/>
            </w:tcBorders>
            <w:shd w:val="clear" w:color="auto" w:fill="FFFFFF"/>
            <w:noWrap w:val="0"/>
            <w:vAlign w:val="center"/>
          </w:tcPr>
          <w:p w14:paraId="07F3092A">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单位性质</w:t>
            </w:r>
          </w:p>
        </w:tc>
      </w:tr>
      <w:tr w14:paraId="562D7FAA">
        <w:tblPrEx>
          <w:shd w:val="clear" w:color="auto" w:fill="FFFFFF"/>
          <w:tblCellMar>
            <w:top w:w="0" w:type="dxa"/>
            <w:left w:w="0" w:type="dxa"/>
            <w:bottom w:w="0" w:type="dxa"/>
            <w:right w:w="0" w:type="dxa"/>
          </w:tblCellMar>
        </w:tblPrEx>
        <w:trPr>
          <w:trHeight w:val="567" w:hRule="exact"/>
        </w:trPr>
        <w:tc>
          <w:tcPr>
            <w:tcW w:w="900" w:type="dxa"/>
            <w:tcBorders>
              <w:top w:val="nil"/>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1CAD2AE5">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1</w:t>
            </w:r>
          </w:p>
        </w:tc>
        <w:tc>
          <w:tcPr>
            <w:tcW w:w="3600" w:type="dxa"/>
            <w:tcBorders>
              <w:top w:val="nil"/>
              <w:left w:val="nil"/>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23CF3E37">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淮北市市场监督管理局本级</w:t>
            </w:r>
          </w:p>
        </w:tc>
        <w:tc>
          <w:tcPr>
            <w:tcW w:w="4500" w:type="dxa"/>
            <w:tcBorders>
              <w:top w:val="nil"/>
              <w:left w:val="nil"/>
              <w:bottom w:val="single" w:color="auto" w:sz="8" w:space="0"/>
              <w:right w:val="single" w:color="auto" w:sz="8" w:space="0"/>
            </w:tcBorders>
            <w:shd w:val="clear" w:color="auto" w:fill="FFFFFF"/>
            <w:noWrap w:val="0"/>
            <w:vAlign w:val="center"/>
          </w:tcPr>
          <w:p w14:paraId="5348E72C">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行政单位</w:t>
            </w:r>
          </w:p>
        </w:tc>
      </w:tr>
      <w:tr w14:paraId="540B6217">
        <w:tblPrEx>
          <w:shd w:val="clear" w:color="auto" w:fill="FFFFFF"/>
          <w:tblCellMar>
            <w:top w:w="0" w:type="dxa"/>
            <w:left w:w="0" w:type="dxa"/>
            <w:bottom w:w="0" w:type="dxa"/>
            <w:right w:w="0" w:type="dxa"/>
          </w:tblCellMar>
        </w:tblPrEx>
        <w:trPr>
          <w:trHeight w:val="567" w:hRule="exact"/>
        </w:trPr>
        <w:tc>
          <w:tcPr>
            <w:tcW w:w="900" w:type="dxa"/>
            <w:tcBorders>
              <w:top w:val="nil"/>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66C82EE">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2</w:t>
            </w:r>
          </w:p>
        </w:tc>
        <w:tc>
          <w:tcPr>
            <w:tcW w:w="3600" w:type="dxa"/>
            <w:tcBorders>
              <w:top w:val="nil"/>
              <w:left w:val="nil"/>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3CE3F1D">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淮北市纤维检验所</w:t>
            </w:r>
          </w:p>
        </w:tc>
        <w:tc>
          <w:tcPr>
            <w:tcW w:w="4500" w:type="dxa"/>
            <w:tcBorders>
              <w:top w:val="nil"/>
              <w:left w:val="nil"/>
              <w:bottom w:val="single" w:color="auto" w:sz="8" w:space="0"/>
              <w:right w:val="single" w:color="auto" w:sz="8" w:space="0"/>
            </w:tcBorders>
            <w:shd w:val="clear" w:color="auto" w:fill="FFFFFF"/>
            <w:noWrap w:val="0"/>
            <w:vAlign w:val="center"/>
          </w:tcPr>
          <w:p w14:paraId="1D94C0CF">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参照公务员法管理的事业单位</w:t>
            </w:r>
          </w:p>
        </w:tc>
      </w:tr>
      <w:tr w14:paraId="4FAF889C">
        <w:tblPrEx>
          <w:shd w:val="clear" w:color="auto" w:fill="FFFFFF"/>
          <w:tblCellMar>
            <w:top w:w="0" w:type="dxa"/>
            <w:left w:w="0" w:type="dxa"/>
            <w:bottom w:w="0" w:type="dxa"/>
            <w:right w:w="0" w:type="dxa"/>
          </w:tblCellMar>
        </w:tblPrEx>
        <w:trPr>
          <w:trHeight w:val="567" w:hRule="exact"/>
        </w:trPr>
        <w:tc>
          <w:tcPr>
            <w:tcW w:w="900" w:type="dxa"/>
            <w:tcBorders>
              <w:top w:val="nil"/>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72B01F18">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3</w:t>
            </w:r>
          </w:p>
        </w:tc>
        <w:tc>
          <w:tcPr>
            <w:tcW w:w="3600" w:type="dxa"/>
            <w:tcBorders>
              <w:top w:val="nil"/>
              <w:left w:val="nil"/>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3A076EB6">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淮北市综合执法支队</w:t>
            </w:r>
          </w:p>
        </w:tc>
        <w:tc>
          <w:tcPr>
            <w:tcW w:w="4500" w:type="dxa"/>
            <w:tcBorders>
              <w:top w:val="nil"/>
              <w:left w:val="nil"/>
              <w:bottom w:val="single" w:color="auto" w:sz="8" w:space="0"/>
              <w:right w:val="single" w:color="auto" w:sz="8" w:space="0"/>
            </w:tcBorders>
            <w:shd w:val="clear" w:color="auto" w:fill="FFFFFF"/>
            <w:noWrap w:val="0"/>
            <w:vAlign w:val="center"/>
          </w:tcPr>
          <w:p w14:paraId="00CEB37A">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lang w:val="en-US" w:eastAsia="zh-CN"/>
              </w:rPr>
              <w:t>公益一类</w:t>
            </w:r>
            <w:r>
              <w:rPr>
                <w:rFonts w:hint="eastAsia" w:ascii="TimesNewRoman" w:hAnsi="TimesNewRoman" w:cs="TimesNewRoman"/>
                <w:bCs/>
                <w:sz w:val="24"/>
              </w:rPr>
              <w:t>事业单位</w:t>
            </w:r>
          </w:p>
        </w:tc>
      </w:tr>
      <w:tr w14:paraId="6BE61AA7">
        <w:tblPrEx>
          <w:shd w:val="clear" w:color="auto" w:fill="FFFFFF"/>
          <w:tblCellMar>
            <w:top w:w="0" w:type="dxa"/>
            <w:left w:w="0" w:type="dxa"/>
            <w:bottom w:w="0" w:type="dxa"/>
            <w:right w:w="0" w:type="dxa"/>
          </w:tblCellMar>
        </w:tblPrEx>
        <w:trPr>
          <w:trHeight w:val="567" w:hRule="exact"/>
        </w:trPr>
        <w:tc>
          <w:tcPr>
            <w:tcW w:w="900" w:type="dxa"/>
            <w:tcBorders>
              <w:top w:val="nil"/>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5A233B75">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4</w:t>
            </w:r>
          </w:p>
        </w:tc>
        <w:tc>
          <w:tcPr>
            <w:tcW w:w="3600" w:type="dxa"/>
            <w:tcBorders>
              <w:top w:val="nil"/>
              <w:left w:val="nil"/>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44C4D6FD">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淮北市产品质量监督检验所</w:t>
            </w:r>
          </w:p>
        </w:tc>
        <w:tc>
          <w:tcPr>
            <w:tcW w:w="4500" w:type="dxa"/>
            <w:tcBorders>
              <w:top w:val="nil"/>
              <w:left w:val="nil"/>
              <w:bottom w:val="single" w:color="auto" w:sz="8" w:space="0"/>
              <w:right w:val="single" w:color="auto" w:sz="8" w:space="0"/>
            </w:tcBorders>
            <w:shd w:val="clear" w:color="auto" w:fill="FFFFFF"/>
            <w:noWrap w:val="0"/>
            <w:vAlign w:val="center"/>
          </w:tcPr>
          <w:p w14:paraId="020ED582">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lang w:val="en-US" w:eastAsia="zh-CN"/>
              </w:rPr>
              <w:t>公益一类</w:t>
            </w:r>
            <w:r>
              <w:rPr>
                <w:rFonts w:hint="eastAsia" w:ascii="TimesNewRoman" w:hAnsi="TimesNewRoman" w:cs="TimesNewRoman"/>
                <w:bCs/>
                <w:sz w:val="24"/>
              </w:rPr>
              <w:t>事业单位</w:t>
            </w:r>
          </w:p>
        </w:tc>
      </w:tr>
      <w:tr w14:paraId="1223C196">
        <w:tblPrEx>
          <w:shd w:val="clear" w:color="auto" w:fill="FFFFFF"/>
          <w:tblCellMar>
            <w:top w:w="0" w:type="dxa"/>
            <w:left w:w="0" w:type="dxa"/>
            <w:bottom w:w="0" w:type="dxa"/>
            <w:right w:w="0" w:type="dxa"/>
          </w:tblCellMar>
        </w:tblPrEx>
        <w:trPr>
          <w:trHeight w:val="567" w:hRule="exact"/>
        </w:trPr>
        <w:tc>
          <w:tcPr>
            <w:tcW w:w="900" w:type="dxa"/>
            <w:tcBorders>
              <w:top w:val="nil"/>
              <w:left w:val="single" w:color="auto" w:sz="8" w:space="0"/>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0F324CB4">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5</w:t>
            </w:r>
          </w:p>
        </w:tc>
        <w:tc>
          <w:tcPr>
            <w:tcW w:w="3600" w:type="dxa"/>
            <w:tcBorders>
              <w:top w:val="nil"/>
              <w:left w:val="nil"/>
              <w:bottom w:val="single" w:color="auto" w:sz="8" w:space="0"/>
              <w:right w:val="single" w:color="auto" w:sz="8" w:space="0"/>
            </w:tcBorders>
            <w:shd w:val="clear" w:color="auto" w:fill="FFFFFF"/>
            <w:noWrap w:val="0"/>
            <w:tcMar>
              <w:top w:w="0" w:type="dxa"/>
              <w:left w:w="108" w:type="dxa"/>
              <w:bottom w:w="0" w:type="dxa"/>
              <w:right w:w="108" w:type="dxa"/>
            </w:tcMar>
            <w:vAlign w:val="center"/>
          </w:tcPr>
          <w:p w14:paraId="730075FA">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淮北市计量测试研究所</w:t>
            </w:r>
          </w:p>
        </w:tc>
        <w:tc>
          <w:tcPr>
            <w:tcW w:w="4500" w:type="dxa"/>
            <w:tcBorders>
              <w:top w:val="nil"/>
              <w:left w:val="nil"/>
              <w:bottom w:val="single" w:color="auto" w:sz="8" w:space="0"/>
              <w:right w:val="single" w:color="auto" w:sz="8" w:space="0"/>
            </w:tcBorders>
            <w:shd w:val="clear" w:color="auto" w:fill="FFFFFF"/>
            <w:noWrap w:val="0"/>
            <w:vAlign w:val="center"/>
          </w:tcPr>
          <w:p w14:paraId="2269F8A3">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lang w:val="en-US" w:eastAsia="zh-CN"/>
              </w:rPr>
              <w:t>公益一类</w:t>
            </w:r>
            <w:r>
              <w:rPr>
                <w:rFonts w:hint="eastAsia" w:ascii="TimesNewRoman" w:hAnsi="TimesNewRoman" w:cs="TimesNewRoman"/>
                <w:bCs/>
                <w:sz w:val="24"/>
              </w:rPr>
              <w:t>事业单位</w:t>
            </w:r>
          </w:p>
        </w:tc>
      </w:tr>
      <w:tr w14:paraId="4C1C00BB">
        <w:tblPrEx>
          <w:shd w:val="clear" w:color="auto" w:fill="FFFFFF"/>
          <w:tblCellMar>
            <w:top w:w="0" w:type="dxa"/>
            <w:left w:w="0" w:type="dxa"/>
            <w:bottom w:w="0" w:type="dxa"/>
            <w:right w:w="0" w:type="dxa"/>
          </w:tblCellMar>
        </w:tblPrEx>
        <w:trPr>
          <w:trHeight w:val="567" w:hRule="exact"/>
        </w:trPr>
        <w:tc>
          <w:tcPr>
            <w:tcW w:w="900" w:type="dxa"/>
            <w:tcBorders>
              <w:top w:val="nil"/>
              <w:left w:val="single" w:color="auto" w:sz="8" w:space="0"/>
              <w:bottom w:val="single" w:color="auto" w:sz="4" w:space="0"/>
              <w:right w:val="single" w:color="auto" w:sz="8" w:space="0"/>
            </w:tcBorders>
            <w:shd w:val="clear" w:color="auto" w:fill="FFFFFF"/>
            <w:noWrap w:val="0"/>
            <w:tcMar>
              <w:top w:w="0" w:type="dxa"/>
              <w:left w:w="108" w:type="dxa"/>
              <w:bottom w:w="0" w:type="dxa"/>
              <w:right w:w="108" w:type="dxa"/>
            </w:tcMar>
            <w:vAlign w:val="center"/>
          </w:tcPr>
          <w:p w14:paraId="73E06D03">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6</w:t>
            </w:r>
          </w:p>
        </w:tc>
        <w:tc>
          <w:tcPr>
            <w:tcW w:w="3600" w:type="dxa"/>
            <w:tcBorders>
              <w:top w:val="nil"/>
              <w:left w:val="nil"/>
              <w:bottom w:val="single" w:color="auto" w:sz="4" w:space="0"/>
              <w:right w:val="single" w:color="auto" w:sz="8" w:space="0"/>
            </w:tcBorders>
            <w:shd w:val="clear" w:color="auto" w:fill="FFFFFF"/>
            <w:noWrap w:val="0"/>
            <w:tcMar>
              <w:top w:w="0" w:type="dxa"/>
              <w:left w:w="108" w:type="dxa"/>
              <w:bottom w:w="0" w:type="dxa"/>
              <w:right w:w="108" w:type="dxa"/>
            </w:tcMar>
            <w:vAlign w:val="center"/>
          </w:tcPr>
          <w:p w14:paraId="39C10AC7">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淮北市技术监督情报研究所</w:t>
            </w:r>
          </w:p>
        </w:tc>
        <w:tc>
          <w:tcPr>
            <w:tcW w:w="4500" w:type="dxa"/>
            <w:tcBorders>
              <w:top w:val="nil"/>
              <w:left w:val="nil"/>
              <w:bottom w:val="single" w:color="auto" w:sz="4" w:space="0"/>
              <w:right w:val="single" w:color="auto" w:sz="8" w:space="0"/>
            </w:tcBorders>
            <w:shd w:val="clear" w:color="auto" w:fill="FFFFFF"/>
            <w:noWrap w:val="0"/>
            <w:vAlign w:val="center"/>
          </w:tcPr>
          <w:p w14:paraId="288AE14D">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lang w:val="en-US" w:eastAsia="zh-CN"/>
              </w:rPr>
              <w:t>公益一类</w:t>
            </w:r>
            <w:r>
              <w:rPr>
                <w:rFonts w:hint="eastAsia" w:ascii="TimesNewRoman" w:hAnsi="TimesNewRoman" w:cs="TimesNewRoman"/>
                <w:bCs/>
                <w:sz w:val="24"/>
              </w:rPr>
              <w:t>事业单位</w:t>
            </w:r>
          </w:p>
        </w:tc>
      </w:tr>
      <w:tr w14:paraId="484501CA">
        <w:tblPrEx>
          <w:shd w:val="clear" w:color="auto" w:fill="FFFFFF"/>
          <w:tblCellMar>
            <w:top w:w="0" w:type="dxa"/>
            <w:left w:w="0" w:type="dxa"/>
            <w:bottom w:w="0" w:type="dxa"/>
            <w:right w:w="0" w:type="dxa"/>
          </w:tblCellMar>
        </w:tblPrEx>
        <w:trPr>
          <w:trHeight w:val="567" w:hRule="exact"/>
        </w:trPr>
        <w:tc>
          <w:tcPr>
            <w:tcW w:w="90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14:paraId="172B8973">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7</w:t>
            </w:r>
          </w:p>
        </w:tc>
        <w:tc>
          <w:tcPr>
            <w:tcW w:w="360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14:paraId="116089A2">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淮北市消费者协会秘书管理处</w:t>
            </w:r>
          </w:p>
        </w:tc>
        <w:tc>
          <w:tcPr>
            <w:tcW w:w="4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0A2DA8">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lang w:val="en-US" w:eastAsia="zh-CN"/>
              </w:rPr>
              <w:t>公益一类</w:t>
            </w:r>
            <w:r>
              <w:rPr>
                <w:rFonts w:hint="eastAsia" w:ascii="TimesNewRoman" w:hAnsi="TimesNewRoman" w:cs="TimesNewRoman"/>
                <w:bCs/>
                <w:sz w:val="24"/>
              </w:rPr>
              <w:t>事业单位</w:t>
            </w:r>
          </w:p>
        </w:tc>
      </w:tr>
      <w:tr w14:paraId="29203A91">
        <w:tblPrEx>
          <w:shd w:val="clear" w:color="auto" w:fill="FFFFFF"/>
          <w:tblCellMar>
            <w:top w:w="0" w:type="dxa"/>
            <w:left w:w="0" w:type="dxa"/>
            <w:bottom w:w="0" w:type="dxa"/>
            <w:right w:w="0" w:type="dxa"/>
          </w:tblCellMar>
        </w:tblPrEx>
        <w:trPr>
          <w:trHeight w:val="567" w:hRule="exact"/>
        </w:trPr>
        <w:tc>
          <w:tcPr>
            <w:tcW w:w="90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14:paraId="32088A03">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8</w:t>
            </w:r>
          </w:p>
        </w:tc>
        <w:tc>
          <w:tcPr>
            <w:tcW w:w="360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14:paraId="2B8ABF4B">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淮北市食品药品检验中心</w:t>
            </w:r>
          </w:p>
        </w:tc>
        <w:tc>
          <w:tcPr>
            <w:tcW w:w="4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2B4C56">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lang w:val="en-US" w:eastAsia="zh-CN"/>
              </w:rPr>
              <w:t>公益一类</w:t>
            </w:r>
            <w:r>
              <w:rPr>
                <w:rFonts w:hint="eastAsia" w:ascii="TimesNewRoman" w:hAnsi="TimesNewRoman" w:cs="TimesNewRoman"/>
                <w:bCs/>
                <w:sz w:val="24"/>
              </w:rPr>
              <w:t>事业单位</w:t>
            </w:r>
          </w:p>
        </w:tc>
      </w:tr>
      <w:tr w14:paraId="359D3273">
        <w:tblPrEx>
          <w:shd w:val="clear" w:color="auto" w:fill="FFFFFF"/>
          <w:tblCellMar>
            <w:top w:w="0" w:type="dxa"/>
            <w:left w:w="0" w:type="dxa"/>
            <w:bottom w:w="0" w:type="dxa"/>
            <w:right w:w="0" w:type="dxa"/>
          </w:tblCellMar>
        </w:tblPrEx>
        <w:trPr>
          <w:trHeight w:val="567" w:hRule="exact"/>
        </w:trPr>
        <w:tc>
          <w:tcPr>
            <w:tcW w:w="90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14:paraId="314BAA9A">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9</w:t>
            </w:r>
          </w:p>
        </w:tc>
        <w:tc>
          <w:tcPr>
            <w:tcW w:w="3600" w:type="dxa"/>
            <w:tcBorders>
              <w:top w:val="single" w:color="auto" w:sz="4" w:space="0"/>
              <w:left w:val="single" w:color="auto" w:sz="4" w:space="0"/>
              <w:bottom w:val="single" w:color="auto" w:sz="4" w:space="0"/>
              <w:right w:val="single" w:color="auto" w:sz="4" w:space="0"/>
            </w:tcBorders>
            <w:shd w:val="clear" w:color="auto" w:fill="FFFFFF"/>
            <w:noWrap w:val="0"/>
            <w:tcMar>
              <w:top w:w="0" w:type="dxa"/>
              <w:left w:w="108" w:type="dxa"/>
              <w:bottom w:w="0" w:type="dxa"/>
              <w:right w:w="108" w:type="dxa"/>
            </w:tcMar>
            <w:vAlign w:val="center"/>
          </w:tcPr>
          <w:p w14:paraId="43141937">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hint="eastAsia" w:ascii="TimesNewRoman" w:hAnsi="TimesNewRoman" w:cs="TimesNewRoman"/>
                <w:bCs/>
                <w:sz w:val="24"/>
              </w:rPr>
              <w:t>淮北市特种设备监督检验中心</w:t>
            </w:r>
          </w:p>
        </w:tc>
        <w:tc>
          <w:tcPr>
            <w:tcW w:w="4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89CA6E">
            <w:pPr>
              <w:keepNext w:val="0"/>
              <w:keepLines w:val="0"/>
              <w:pageBreakBefore w:val="0"/>
              <w:kinsoku/>
              <w:wordWrap/>
              <w:overflowPunct/>
              <w:topLinePunct w:val="0"/>
              <w:autoSpaceDE/>
              <w:autoSpaceDN/>
              <w:bidi w:val="0"/>
              <w:adjustRightInd w:val="0"/>
              <w:snapToGrid w:val="0"/>
              <w:spacing w:beforeAutospacing="0" w:afterAutospacing="0" w:line="480" w:lineRule="exact"/>
              <w:jc w:val="center"/>
              <w:textAlignment w:val="auto"/>
              <w:rPr>
                <w:rFonts w:hint="eastAsia" w:ascii="TimesNewRoman" w:hAnsi="TimesNewRoman" w:cs="TimesNewRoman"/>
                <w:bCs/>
                <w:sz w:val="24"/>
              </w:rPr>
            </w:pPr>
            <w:r>
              <w:rPr>
                <w:rFonts w:ascii="TimesNewRoman" w:hAnsi="TimesNewRoman" w:cs="TimesNewRoman"/>
                <w:bCs/>
                <w:sz w:val="24"/>
              </w:rPr>
              <w:t>暂未划分类别事业单位</w:t>
            </w:r>
          </w:p>
        </w:tc>
      </w:tr>
    </w:tbl>
    <w:p w14:paraId="591EA96C">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三、2024年度主要工作任务</w:t>
      </w:r>
    </w:p>
    <w:p w14:paraId="1B299BA1">
      <w:pPr>
        <w:keepNext w:val="0"/>
        <w:keepLines w:val="0"/>
        <w:pageBreakBefore w:val="0"/>
        <w:widowControl w:val="0"/>
        <w:kinsoku/>
        <w:wordWrap/>
        <w:overflowPunct/>
        <w:topLinePunct w:val="0"/>
        <w:autoSpaceDE/>
        <w:autoSpaceDN/>
        <w:bidi w:val="0"/>
        <w:adjustRightInd/>
        <w:spacing w:line="520" w:lineRule="exact"/>
        <w:ind w:firstLine="642"/>
        <w:textAlignment w:val="auto"/>
        <w:rPr>
          <w:rFonts w:hint="eastAsia" w:ascii="仿宋_GB2312" w:hAnsi="仿宋_GB2312" w:eastAsia="仿宋_GB2312" w:cs="仿宋_GB2312"/>
          <w:color w:val="000000"/>
          <w:sz w:val="32"/>
          <w:szCs w:val="32"/>
          <w:lang w:val="zh-CN" w:eastAsia="zh-CN" w:bidi="ar-SA"/>
        </w:rPr>
      </w:pPr>
      <w:r>
        <w:rPr>
          <w:rFonts w:hint="eastAsia" w:ascii="TimesNewRoman" w:hAnsi="TimesNewRoman" w:eastAsia="仿宋_GB2312" w:cs="TimesNewRoman"/>
          <w:b/>
          <w:bCs w:val="0"/>
          <w:sz w:val="32"/>
          <w:szCs w:val="32"/>
        </w:rPr>
        <w:t>（一）</w:t>
      </w:r>
      <w:r>
        <w:rPr>
          <w:rFonts w:hint="eastAsia" w:ascii="TimesNewRoman" w:hAnsi="TimesNewRoman" w:eastAsia="仿宋_GB2312" w:cs="TimesNewRoman"/>
          <w:b/>
          <w:bCs w:val="0"/>
          <w:sz w:val="32"/>
          <w:szCs w:val="32"/>
          <w:lang w:val="en-US" w:eastAsia="zh-CN"/>
        </w:rPr>
        <w:t>在创优营商环境上再提升。</w:t>
      </w:r>
      <w:r>
        <w:rPr>
          <w:rFonts w:hint="eastAsia" w:ascii="仿宋_GB2312" w:hAnsi="仿宋_GB2312" w:eastAsia="仿宋_GB2312" w:cs="仿宋_GB2312"/>
          <w:b/>
          <w:bCs/>
          <w:sz w:val="32"/>
          <w:szCs w:val="32"/>
          <w:lang w:val="en-US" w:eastAsia="zh-CN"/>
        </w:rPr>
        <w:t>一是更大力度支持经营主体发展。</w:t>
      </w:r>
      <w:r>
        <w:rPr>
          <w:rFonts w:hint="default" w:ascii="Times New Roman" w:hAnsi="Times New Roman" w:eastAsia="仿宋_GB2312" w:cs="Times New Roman"/>
          <w:color w:val="000000"/>
          <w:sz w:val="32"/>
          <w:szCs w:val="32"/>
          <w:lang w:val="en-US" w:eastAsia="zh-CN" w:bidi="ar-SA"/>
        </w:rPr>
        <w:t>积极拓展企业开办智能审批系统集成服务功能，推动更多办理事项“一窗受理、一网申报、并联审批”。</w:t>
      </w:r>
      <w:r>
        <w:rPr>
          <w:rFonts w:hint="eastAsia" w:ascii="仿宋_GB2312" w:hAnsi="仿宋_GB2312" w:eastAsia="仿宋_GB2312" w:cs="仿宋_GB2312"/>
          <w:color w:val="000000"/>
          <w:sz w:val="32"/>
          <w:szCs w:val="32"/>
        </w:rPr>
        <w:t>全面落实市场准入负面清单</w:t>
      </w:r>
      <w:r>
        <w:rPr>
          <w:rFonts w:hint="eastAsia" w:ascii="仿宋_GB2312" w:hAnsi="仿宋_GB2312" w:eastAsia="仿宋_GB2312" w:cs="仿宋_GB2312"/>
          <w:color w:val="000000"/>
          <w:sz w:val="32"/>
          <w:szCs w:val="32"/>
          <w:lang w:eastAsia="zh-CN"/>
        </w:rPr>
        <w:t>制度</w:t>
      </w:r>
      <w:r>
        <w:rPr>
          <w:rFonts w:hint="eastAsia" w:ascii="仿宋_GB2312" w:hAnsi="仿宋_GB2312" w:eastAsia="仿宋_GB2312" w:cs="仿宋_GB2312"/>
          <w:color w:val="000000"/>
          <w:sz w:val="32"/>
          <w:szCs w:val="32"/>
        </w:rPr>
        <w:t>，坚决落实“两个严禁”和企业迁移便利化举措，进一步提升企业登记注册的规范性、便捷度。</w:t>
      </w:r>
      <w:r>
        <w:rPr>
          <w:rFonts w:hint="eastAsia" w:ascii="仿宋_GB2312" w:hAnsi="仿宋_GB2312" w:eastAsia="仿宋_GB2312" w:cs="仿宋_GB2312"/>
          <w:color w:val="000000"/>
          <w:sz w:val="32"/>
          <w:szCs w:val="32"/>
          <w:lang w:eastAsia="zh-CN"/>
        </w:rPr>
        <w:t>深化</w:t>
      </w:r>
      <w:r>
        <w:rPr>
          <w:rFonts w:hint="eastAsia" w:ascii="仿宋_GB2312" w:hAnsi="仿宋_GB2312" w:eastAsia="仿宋_GB2312" w:cs="仿宋_GB2312"/>
          <w:color w:val="000000"/>
          <w:sz w:val="32"/>
          <w:szCs w:val="32"/>
        </w:rPr>
        <w:t>“证照并销”“强制注销”“一屏注销”改革试点，</w:t>
      </w:r>
      <w:r>
        <w:rPr>
          <w:rFonts w:hint="eastAsia" w:ascii="仿宋_GB2312" w:hAnsi="仿宋_GB2312" w:eastAsia="仿宋_GB2312" w:cs="仿宋_GB2312"/>
          <w:color w:val="000000"/>
          <w:sz w:val="32"/>
          <w:szCs w:val="32"/>
          <w:lang w:eastAsia="zh-CN"/>
        </w:rPr>
        <w:t>推动</w:t>
      </w:r>
      <w:r>
        <w:rPr>
          <w:rFonts w:hint="eastAsia" w:ascii="仿宋_GB2312" w:hAnsi="仿宋_GB2312" w:eastAsia="仿宋_GB2312" w:cs="仿宋_GB2312"/>
          <w:color w:val="000000"/>
          <w:sz w:val="32"/>
          <w:szCs w:val="32"/>
        </w:rPr>
        <w:t>“个转企”扩面</w:t>
      </w:r>
      <w:r>
        <w:rPr>
          <w:rFonts w:hint="eastAsia" w:ascii="仿宋_GB2312" w:hAnsi="仿宋_GB2312" w:eastAsia="仿宋_GB2312" w:cs="仿宋_GB2312"/>
          <w:color w:val="000000"/>
          <w:sz w:val="32"/>
          <w:szCs w:val="32"/>
          <w:lang w:eastAsia="zh-CN"/>
        </w:rPr>
        <w:t>增</w:t>
      </w:r>
      <w:r>
        <w:rPr>
          <w:rFonts w:hint="eastAsia" w:ascii="仿宋_GB2312" w:hAnsi="仿宋_GB2312" w:eastAsia="仿宋_GB2312" w:cs="仿宋_GB2312"/>
          <w:color w:val="000000"/>
          <w:sz w:val="32"/>
          <w:szCs w:val="32"/>
        </w:rPr>
        <w:t>量</w:t>
      </w:r>
      <w:r>
        <w:rPr>
          <w:rFonts w:hint="eastAsia" w:ascii="仿宋_GB2312" w:hAnsi="仿宋_GB2312" w:eastAsia="仿宋_GB2312" w:cs="仿宋_GB2312"/>
          <w:color w:val="000000"/>
          <w:sz w:val="32"/>
          <w:szCs w:val="32"/>
          <w:lang w:eastAsia="zh-CN"/>
        </w:rPr>
        <w:t>提</w:t>
      </w:r>
      <w:r>
        <w:rPr>
          <w:rFonts w:hint="eastAsia" w:ascii="仿宋_GB2312" w:hAnsi="仿宋_GB2312" w:eastAsia="仿宋_GB2312" w:cs="仿宋_GB2312"/>
          <w:color w:val="000000"/>
          <w:sz w:val="32"/>
          <w:szCs w:val="32"/>
        </w:rPr>
        <w:t>质。</w:t>
      </w:r>
      <w:r>
        <w:rPr>
          <w:rFonts w:hint="eastAsia" w:ascii="仿宋_GB2312" w:hAnsi="仿宋_GB2312" w:eastAsia="仿宋_GB2312" w:cs="仿宋_GB2312"/>
          <w:color w:val="000000"/>
          <w:sz w:val="32"/>
          <w:szCs w:val="32"/>
          <w:lang w:eastAsia="zh-CN"/>
        </w:rPr>
        <w:t>建立与个体工商户常态化沟通交流机制，</w:t>
      </w:r>
      <w:r>
        <w:rPr>
          <w:rFonts w:hint="eastAsia" w:ascii="仿宋_GB2312" w:hAnsi="仿宋_GB2312" w:eastAsia="仿宋_GB2312" w:cs="仿宋_GB2312"/>
          <w:color w:val="000000"/>
          <w:sz w:val="32"/>
          <w:szCs w:val="32"/>
        </w:rPr>
        <w:t>合力推动各项帮扶政策落实落地。</w:t>
      </w:r>
      <w:r>
        <w:rPr>
          <w:rFonts w:hint="default" w:ascii="Times New Roman" w:hAnsi="Times New Roman" w:eastAsia="仿宋_GB2312" w:cs="Times New Roman"/>
          <w:b w:val="0"/>
          <w:bCs w:val="0"/>
          <w:sz w:val="32"/>
          <w:szCs w:val="32"/>
          <w:lang w:eastAsia="zh-CN"/>
        </w:rPr>
        <w:t>推动“小个专”党建品牌提档升级，着力将党组织的政治优势和组织优势转化为“小个专”的发展优势。</w:t>
      </w:r>
      <w:r>
        <w:rPr>
          <w:rFonts w:hint="eastAsia" w:ascii="仿宋_GB2312" w:hAnsi="仿宋_GB2312" w:eastAsia="仿宋_GB2312" w:cs="仿宋_GB2312"/>
          <w:b/>
          <w:bCs/>
          <w:color w:val="000000"/>
          <w:sz w:val="32"/>
          <w:szCs w:val="32"/>
          <w:lang w:val="en-US" w:eastAsia="zh-CN" w:bidi="ar-SA"/>
        </w:rPr>
        <w:t>二是全力维护公平竞争市场环境。</w:t>
      </w:r>
      <w:r>
        <w:rPr>
          <w:rFonts w:hint="default" w:ascii="仿宋_GB2312" w:hAnsi="仿宋_GB2312" w:eastAsia="仿宋_GB2312" w:cs="仿宋_GB2312"/>
          <w:color w:val="000000"/>
          <w:sz w:val="32"/>
          <w:szCs w:val="32"/>
          <w:lang w:eastAsia="zh-CN"/>
        </w:rPr>
        <w:t>全面落实公平竞争审查制度</w:t>
      </w:r>
      <w:r>
        <w:rPr>
          <w:rFonts w:hint="default" w:ascii="仿宋_GB2312" w:hAnsi="仿宋_GB2312" w:eastAsia="仿宋_GB2312" w:cs="仿宋_GB2312"/>
          <w:color w:val="000000"/>
          <w:sz w:val="32"/>
          <w:szCs w:val="32"/>
          <w:lang w:val="en-US" w:eastAsia="zh-CN"/>
        </w:rPr>
        <w:t>，持续</w:t>
      </w:r>
      <w:r>
        <w:rPr>
          <w:rFonts w:hint="default" w:ascii="仿宋_GB2312" w:hAnsi="仿宋_GB2312" w:eastAsia="仿宋_GB2312" w:cs="仿宋_GB2312"/>
          <w:color w:val="000000"/>
          <w:sz w:val="32"/>
          <w:szCs w:val="32"/>
          <w:lang w:eastAsia="zh-CN"/>
        </w:rPr>
        <w:t>清理废除妨碍</w:t>
      </w:r>
      <w:r>
        <w:rPr>
          <w:rFonts w:hint="default" w:ascii="仿宋_GB2312" w:hAnsi="仿宋_GB2312" w:eastAsia="仿宋_GB2312" w:cs="仿宋_GB2312"/>
          <w:color w:val="000000"/>
          <w:sz w:val="32"/>
          <w:szCs w:val="32"/>
        </w:rPr>
        <w:t>统一</w:t>
      </w:r>
      <w:r>
        <w:rPr>
          <w:rFonts w:hint="default" w:ascii="仿宋_GB2312" w:hAnsi="仿宋_GB2312" w:eastAsia="仿宋_GB2312" w:cs="仿宋_GB2312"/>
          <w:color w:val="000000"/>
          <w:sz w:val="32"/>
          <w:szCs w:val="32"/>
          <w:lang w:eastAsia="zh-CN"/>
        </w:rPr>
        <w:t>大</w:t>
      </w:r>
      <w:r>
        <w:rPr>
          <w:rFonts w:hint="default" w:ascii="仿宋_GB2312" w:hAnsi="仿宋_GB2312" w:eastAsia="仿宋_GB2312" w:cs="仿宋_GB2312"/>
          <w:color w:val="000000"/>
          <w:sz w:val="32"/>
          <w:szCs w:val="32"/>
        </w:rPr>
        <w:t>市场和公平竞争的</w:t>
      </w:r>
      <w:r>
        <w:rPr>
          <w:rFonts w:hint="default" w:ascii="仿宋_GB2312" w:hAnsi="仿宋_GB2312" w:eastAsia="仿宋_GB2312" w:cs="仿宋_GB2312"/>
          <w:color w:val="000000"/>
          <w:sz w:val="32"/>
          <w:szCs w:val="32"/>
          <w:lang w:eastAsia="zh-CN"/>
        </w:rPr>
        <w:t>各类</w:t>
      </w:r>
      <w:r>
        <w:rPr>
          <w:rFonts w:hint="default" w:ascii="仿宋_GB2312" w:hAnsi="仿宋_GB2312" w:eastAsia="仿宋_GB2312" w:cs="仿宋_GB2312"/>
          <w:color w:val="000000"/>
          <w:sz w:val="32"/>
          <w:szCs w:val="32"/>
        </w:rPr>
        <w:t>政策措施</w:t>
      </w:r>
      <w:r>
        <w:rPr>
          <w:rFonts w:hint="default" w:ascii="仿宋_GB2312" w:hAnsi="仿宋_GB2312" w:eastAsia="仿宋_GB2312" w:cs="仿宋_GB2312"/>
          <w:color w:val="000000"/>
          <w:sz w:val="32"/>
          <w:szCs w:val="32"/>
          <w:lang w:val="en-US" w:eastAsia="zh-CN"/>
        </w:rPr>
        <w:t>。开展民生领域反垄断执法和反不正当竞争专项行动，开展制止滥用行政权力排除、限制竞争等专项执法行动，严厉打击各类不正当竞争行为</w:t>
      </w:r>
      <w:r>
        <w:rPr>
          <w:rFonts w:hint="eastAsia" w:ascii="仿宋_GB2312" w:hAnsi="仿宋_GB2312" w:eastAsia="仿宋_GB2312" w:cs="仿宋_GB2312"/>
          <w:color w:val="000000"/>
          <w:sz w:val="32"/>
          <w:szCs w:val="32"/>
          <w:lang w:val="en-US" w:eastAsia="zh-CN"/>
        </w:rPr>
        <w:t>。</w:t>
      </w:r>
      <w:r>
        <w:rPr>
          <w:rFonts w:hint="default" w:ascii="仿宋_GB2312" w:hAnsi="仿宋_GB2312" w:eastAsia="仿宋_GB2312" w:cs="仿宋_GB2312"/>
          <w:color w:val="000000"/>
          <w:sz w:val="32"/>
          <w:szCs w:val="32"/>
          <w:lang w:val="zh-CN"/>
        </w:rPr>
        <w:t>持续推进民生领域“铁拳”行动、</w:t>
      </w:r>
      <w:r>
        <w:rPr>
          <w:rFonts w:hint="default" w:ascii="仿宋_GB2312" w:hAnsi="仿宋_GB2312" w:eastAsia="仿宋_GB2312" w:cs="仿宋_GB2312"/>
          <w:color w:val="000000"/>
          <w:sz w:val="32"/>
          <w:szCs w:val="32"/>
        </w:rPr>
        <w:t>农资打假</w:t>
      </w:r>
      <w:r>
        <w:rPr>
          <w:rFonts w:hint="eastAsia" w:ascii="仿宋_GB2312" w:hAnsi="仿宋_GB2312" w:eastAsia="仿宋_GB2312" w:cs="仿宋_GB2312"/>
          <w:color w:val="000000"/>
          <w:sz w:val="32"/>
          <w:szCs w:val="32"/>
          <w:lang w:eastAsia="zh-CN"/>
        </w:rPr>
        <w:t>、扫黑除恶、</w:t>
      </w:r>
      <w:r>
        <w:rPr>
          <w:rFonts w:hint="eastAsia" w:ascii="仿宋_GB2312" w:hAnsi="仿宋_GB2312" w:eastAsia="仿宋_GB2312" w:cs="仿宋_GB2312"/>
          <w:color w:val="000000"/>
          <w:sz w:val="32"/>
          <w:szCs w:val="32"/>
        </w:rPr>
        <w:t>长江禁渔</w:t>
      </w:r>
      <w:r>
        <w:rPr>
          <w:rFonts w:hint="default" w:ascii="仿宋_GB2312" w:hAnsi="仿宋_GB2312" w:eastAsia="仿宋_GB2312" w:cs="仿宋_GB2312"/>
          <w:color w:val="000000"/>
          <w:sz w:val="32"/>
          <w:szCs w:val="32"/>
        </w:rPr>
        <w:t>等专项执法行动</w:t>
      </w:r>
      <w:r>
        <w:rPr>
          <w:rFonts w:hint="default" w:ascii="仿宋_GB2312" w:hAnsi="仿宋_GB2312" w:eastAsia="仿宋_GB2312" w:cs="仿宋_GB2312"/>
          <w:color w:val="000000"/>
          <w:sz w:val="32"/>
          <w:szCs w:val="32"/>
          <w:lang w:eastAsia="zh-CN"/>
        </w:rPr>
        <w:t>，</w:t>
      </w:r>
      <w:r>
        <w:rPr>
          <w:rFonts w:hint="default" w:ascii="仿宋_GB2312" w:hAnsi="仿宋_GB2312" w:eastAsia="仿宋_GB2312" w:cs="仿宋_GB2312"/>
          <w:color w:val="000000"/>
          <w:sz w:val="32"/>
          <w:szCs w:val="32"/>
        </w:rPr>
        <w:t>加大教育、医疗</w:t>
      </w:r>
      <w:r>
        <w:rPr>
          <w:rFonts w:hint="default" w:ascii="仿宋_GB2312" w:hAnsi="仿宋_GB2312" w:eastAsia="仿宋_GB2312" w:cs="仿宋_GB2312"/>
          <w:color w:val="000000"/>
          <w:sz w:val="32"/>
          <w:szCs w:val="32"/>
          <w:lang w:eastAsia="zh-CN"/>
        </w:rPr>
        <w:t>、物业</w:t>
      </w:r>
      <w:r>
        <w:rPr>
          <w:rFonts w:hint="default" w:ascii="仿宋_GB2312" w:hAnsi="仿宋_GB2312" w:eastAsia="仿宋_GB2312" w:cs="仿宋_GB2312"/>
          <w:color w:val="000000"/>
          <w:sz w:val="32"/>
          <w:szCs w:val="32"/>
        </w:rPr>
        <w:t>等</w:t>
      </w:r>
      <w:r>
        <w:rPr>
          <w:rFonts w:hint="default" w:ascii="仿宋_GB2312" w:hAnsi="仿宋_GB2312" w:eastAsia="仿宋_GB2312" w:cs="仿宋_GB2312"/>
          <w:color w:val="000000"/>
          <w:sz w:val="32"/>
          <w:szCs w:val="32"/>
          <w:lang w:eastAsia="zh-CN"/>
        </w:rPr>
        <w:t>领域</w:t>
      </w:r>
      <w:r>
        <w:rPr>
          <w:rFonts w:hint="default" w:ascii="仿宋_GB2312" w:hAnsi="仿宋_GB2312" w:eastAsia="仿宋_GB2312" w:cs="仿宋_GB2312"/>
          <w:color w:val="000000"/>
          <w:sz w:val="32"/>
          <w:szCs w:val="32"/>
        </w:rPr>
        <w:t>价格检查</w:t>
      </w:r>
      <w:r>
        <w:rPr>
          <w:rFonts w:hint="default" w:ascii="仿宋_GB2312" w:hAnsi="仿宋_GB2312" w:eastAsia="仿宋_GB2312" w:cs="仿宋_GB2312"/>
          <w:color w:val="000000"/>
          <w:sz w:val="32"/>
          <w:szCs w:val="32"/>
          <w:lang w:eastAsia="zh-CN"/>
        </w:rPr>
        <w:t>力度</w:t>
      </w:r>
      <w:r>
        <w:rPr>
          <w:rFonts w:hint="default"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val="en-US" w:eastAsia="zh-CN"/>
        </w:rPr>
        <w:t>强化网络交易和广告监管，</w:t>
      </w:r>
      <w:r>
        <w:rPr>
          <w:rFonts w:hint="default" w:ascii="仿宋_GB2312" w:hAnsi="仿宋_GB2312" w:eastAsia="仿宋_GB2312" w:cs="仿宋_GB2312"/>
          <w:color w:val="000000"/>
          <w:sz w:val="32"/>
          <w:szCs w:val="32"/>
          <w:lang w:val="en-US" w:eastAsia="zh-CN"/>
        </w:rPr>
        <w:t>全力维护公平竞争市场环境。</w:t>
      </w:r>
      <w:r>
        <w:rPr>
          <w:rFonts w:hint="eastAsia" w:ascii="仿宋_GB2312" w:hAnsi="仿宋_GB2312" w:eastAsia="仿宋_GB2312" w:cs="仿宋_GB2312"/>
          <w:b/>
          <w:bCs/>
          <w:color w:val="000000"/>
          <w:sz w:val="32"/>
          <w:szCs w:val="32"/>
          <w:lang w:val="zh-CN"/>
        </w:rPr>
        <w:t>三是扎实开展“放心消费在淮北”行动。</w:t>
      </w:r>
      <w:r>
        <w:rPr>
          <w:rFonts w:hint="eastAsia" w:ascii="仿宋_GB2312" w:hAnsi="仿宋_GB2312" w:eastAsia="仿宋_GB2312" w:cs="仿宋_GB2312"/>
          <w:color w:val="000000"/>
          <w:sz w:val="32"/>
          <w:szCs w:val="32"/>
          <w:lang w:val="zh-CN"/>
        </w:rPr>
        <w:t>做好新一轮放心消费创建工作，发挥放心消费示范教育基地作用，持续开展放心消费教育活动。健全在线消费纠纷解决机制，深化消费维权服务站规范化建设，大力发展线下无理由退换货承诺单位。强化市场经营主体消费纠纷和解主体责任，完善投诉举报快速处置机制，充分发挥淮北仲裁委员会消费纠纷调裁中心作用，努力把消费纠纷化解在源头、和解在企业、解决在基层。</w:t>
      </w:r>
    </w:p>
    <w:p w14:paraId="7FCCB2C3">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643" w:firstLineChars="200"/>
        <w:jc w:val="both"/>
        <w:textAlignment w:val="auto"/>
        <w:rPr>
          <w:rFonts w:hint="eastAsia" w:ascii="Times New Roman" w:hAnsi="Times New Roman" w:eastAsia="仿宋_GB2312" w:cs="Times New Roman"/>
          <w:color w:val="000000"/>
          <w:sz w:val="32"/>
          <w:szCs w:val="32"/>
          <w:lang w:val="en-US" w:eastAsia="zh-CN" w:bidi="ar-SA"/>
        </w:rPr>
      </w:pPr>
      <w:r>
        <w:rPr>
          <w:rFonts w:hint="eastAsia" w:ascii="TimesNewRoman" w:hAnsi="TimesNewRoman" w:eastAsia="仿宋_GB2312" w:cs="TimesNewRoman"/>
          <w:b/>
          <w:bCs w:val="0"/>
          <w:sz w:val="32"/>
          <w:szCs w:val="32"/>
        </w:rPr>
        <w:t>（</w:t>
      </w:r>
      <w:r>
        <w:rPr>
          <w:rFonts w:hint="eastAsia" w:ascii="TimesNewRoman" w:hAnsi="TimesNewRoman" w:eastAsia="仿宋_GB2312" w:cs="TimesNewRoman"/>
          <w:b/>
          <w:bCs w:val="0"/>
          <w:sz w:val="32"/>
          <w:szCs w:val="32"/>
          <w:lang w:val="en-US" w:eastAsia="zh-CN"/>
        </w:rPr>
        <w:t>二</w:t>
      </w:r>
      <w:r>
        <w:rPr>
          <w:rFonts w:hint="eastAsia" w:ascii="TimesNewRoman" w:hAnsi="TimesNewRoman" w:eastAsia="仿宋_GB2312" w:cs="TimesNewRoman"/>
          <w:b/>
          <w:bCs w:val="0"/>
          <w:sz w:val="32"/>
          <w:szCs w:val="32"/>
        </w:rPr>
        <w:t>）</w:t>
      </w:r>
      <w:r>
        <w:rPr>
          <w:rFonts w:hint="eastAsia" w:ascii="仿宋_GB2312" w:hAnsi="仿宋_GB2312" w:eastAsia="仿宋_GB2312" w:cs="仿宋_GB2312"/>
          <w:b/>
          <w:bCs/>
          <w:sz w:val="32"/>
          <w:szCs w:val="32"/>
          <w:lang w:val="en-US" w:eastAsia="zh-CN"/>
        </w:rPr>
        <w:t>在推进“两个强市”上再提升。一是扎实推进知识产权创造、保护和运用。</w:t>
      </w:r>
      <w:r>
        <w:rPr>
          <w:rFonts w:hint="eastAsia" w:ascii="Times New Roman" w:hAnsi="Times New Roman" w:eastAsia="仿宋_GB2312" w:cs="Times New Roman"/>
          <w:sz w:val="32"/>
          <w:szCs w:val="32"/>
          <w:lang w:val="en-US" w:eastAsia="zh-CN" w:bidi="ar-SA"/>
        </w:rPr>
        <w:t>持续推进</w:t>
      </w:r>
      <w:r>
        <w:rPr>
          <w:rFonts w:hint="default" w:ascii="Times New Roman" w:hAnsi="Times New Roman" w:eastAsia="仿宋_GB2312" w:cs="Times New Roman"/>
          <w:sz w:val="32"/>
          <w:szCs w:val="32"/>
          <w:lang w:val="zh-CN" w:eastAsia="zh-CN" w:bidi="ar-SA"/>
        </w:rPr>
        <w:t>知识产权强市试点</w:t>
      </w:r>
      <w:r>
        <w:rPr>
          <w:rFonts w:hint="eastAsia" w:ascii="Times New Roman" w:hAnsi="Times New Roman" w:eastAsia="仿宋_GB2312" w:cs="Times New Roman"/>
          <w:sz w:val="32"/>
          <w:szCs w:val="32"/>
          <w:lang w:val="zh-CN" w:eastAsia="zh-CN" w:bidi="ar-SA"/>
        </w:rPr>
        <w:t>城市</w:t>
      </w:r>
      <w:r>
        <w:rPr>
          <w:rFonts w:hint="default" w:ascii="Times New Roman" w:hAnsi="Times New Roman" w:eastAsia="仿宋_GB2312" w:cs="Times New Roman"/>
          <w:sz w:val="32"/>
          <w:szCs w:val="32"/>
          <w:lang w:val="zh-CN" w:eastAsia="zh-CN" w:bidi="ar-SA"/>
        </w:rPr>
        <w:t>建设，</w:t>
      </w:r>
      <w:r>
        <w:rPr>
          <w:rFonts w:hint="default" w:ascii="Times New Roman" w:hAnsi="Times New Roman" w:eastAsia="仿宋_GB2312" w:cs="Times New Roman"/>
          <w:sz w:val="32"/>
          <w:szCs w:val="32"/>
          <w:lang w:val="en-US" w:eastAsia="zh-CN" w:bidi="ar-SA"/>
        </w:rPr>
        <w:t>抓好高价值发明专利培育</w:t>
      </w:r>
      <w:r>
        <w:rPr>
          <w:rFonts w:hint="eastAsia" w:ascii="Times New Roman" w:hAnsi="Times New Roman" w:eastAsia="仿宋_GB2312" w:cs="Times New Roman"/>
          <w:sz w:val="32"/>
          <w:szCs w:val="32"/>
          <w:lang w:val="en-US" w:eastAsia="zh-CN" w:bidi="ar-SA"/>
        </w:rPr>
        <w:t>、</w:t>
      </w:r>
      <w:r>
        <w:rPr>
          <w:rFonts w:hint="default" w:ascii="Times New Roman" w:hAnsi="Times New Roman" w:eastAsia="仿宋_GB2312" w:cs="Times New Roman"/>
          <w:sz w:val="32"/>
          <w:szCs w:val="32"/>
          <w:lang w:val="en-US" w:eastAsia="zh-CN" w:bidi="ar-SA"/>
        </w:rPr>
        <w:t>优势示范企业培育</w:t>
      </w:r>
      <w:r>
        <w:rPr>
          <w:rFonts w:hint="eastAsia" w:ascii="Times New Roman" w:hAnsi="Times New Roman" w:eastAsia="仿宋_GB2312" w:cs="Times New Roman"/>
          <w:sz w:val="32"/>
          <w:szCs w:val="32"/>
          <w:lang w:val="en-US" w:eastAsia="zh-CN" w:bidi="ar-SA"/>
        </w:rPr>
        <w:t>和专利导航服务基地建设，推进</w:t>
      </w:r>
      <w:r>
        <w:rPr>
          <w:rFonts w:hint="eastAsia" w:ascii="Times New Roman" w:hAnsi="Times New Roman" w:eastAsia="仿宋_GB2312" w:cs="Times New Roman"/>
          <w:sz w:val="32"/>
          <w:szCs w:val="32"/>
          <w:lang w:val="zh-CN" w:eastAsia="zh-CN" w:bidi="ar-SA"/>
        </w:rPr>
        <w:t>企业知识产权贯标工作，</w:t>
      </w:r>
      <w:r>
        <w:rPr>
          <w:rFonts w:hint="eastAsia" w:ascii="仿宋_GB2312" w:hAnsi="仿宋_GB2312" w:eastAsia="仿宋_GB2312" w:cs="仿宋_GB2312"/>
          <w:b w:val="0"/>
          <w:bCs w:val="0"/>
          <w:color w:val="000000"/>
          <w:sz w:val="32"/>
          <w:szCs w:val="32"/>
        </w:rPr>
        <w:t>促进更多企业将专利技术融入标准，提高企业核心竞争力</w:t>
      </w:r>
      <w:r>
        <w:rPr>
          <w:rFonts w:hint="eastAsia" w:ascii="Times New Roman" w:hAnsi="Times New Roman" w:eastAsia="仿宋_GB2312" w:cs="Times New Roman"/>
          <w:sz w:val="32"/>
          <w:szCs w:val="32"/>
          <w:lang w:val="zh-CN" w:eastAsia="zh-CN" w:bidi="ar-SA"/>
        </w:rPr>
        <w:t>。</w:t>
      </w:r>
      <w:r>
        <w:rPr>
          <w:rFonts w:hint="eastAsia" w:ascii="仿宋_GB2312" w:hAnsi="方正仿宋_GBK" w:eastAsia="仿宋_GB2312" w:cs="方正仿宋_GBK"/>
          <w:color w:val="000000"/>
          <w:sz w:val="32"/>
          <w:szCs w:val="32"/>
          <w:lang w:eastAsia="zh-CN"/>
        </w:rPr>
        <w:t>推动专利转化和</w:t>
      </w:r>
      <w:r>
        <w:rPr>
          <w:rFonts w:hint="eastAsia" w:ascii="仿宋_GB2312" w:hAnsi="方正仿宋_GBK" w:eastAsia="仿宋_GB2312" w:cs="方正仿宋_GBK"/>
          <w:color w:val="000000"/>
          <w:sz w:val="32"/>
          <w:szCs w:val="32"/>
          <w:lang w:val="en-US" w:eastAsia="zh-CN"/>
        </w:rPr>
        <w:t>专利开放许可，全面提升专利效益。</w:t>
      </w:r>
      <w:r>
        <w:rPr>
          <w:rFonts w:hint="eastAsia" w:ascii="Times New Roman" w:hAnsi="Times New Roman" w:eastAsia="仿宋_GB2312" w:cs="Times New Roman"/>
          <w:sz w:val="32"/>
          <w:szCs w:val="32"/>
          <w:lang w:val="zh-CN" w:eastAsia="zh-CN" w:bidi="ar-SA"/>
        </w:rPr>
        <w:t>深化知识产权质押融资“入园惠企”专项行动，</w:t>
      </w:r>
      <w:r>
        <w:rPr>
          <w:rFonts w:hint="eastAsia" w:ascii="Times New Roman" w:hAnsi="Times New Roman" w:eastAsia="仿宋_GB2312" w:cs="Times New Roman"/>
          <w:sz w:val="32"/>
          <w:szCs w:val="32"/>
          <w:lang w:val="en-US" w:eastAsia="zh-CN" w:bidi="ar-SA"/>
        </w:rPr>
        <w:t>加快建设知识产权公共服务节点，推进公共服务网点合理布局。深化</w:t>
      </w:r>
      <w:r>
        <w:rPr>
          <w:rFonts w:hint="eastAsia" w:ascii="Times New Roman" w:hAnsi="Times New Roman" w:eastAsia="仿宋_GB2312" w:cs="Times New Roman"/>
          <w:sz w:val="32"/>
          <w:szCs w:val="32"/>
          <w:lang w:val="zh-CN" w:eastAsia="zh-CN" w:bidi="ar-SA"/>
        </w:rPr>
        <w:t>商标、专利、地理标志行政保护专项行动，推进知识产权纠纷行政调解、行政裁决、仲裁调解、司法确认等工作落实。推进“</w:t>
      </w:r>
      <w:r>
        <w:rPr>
          <w:rFonts w:hint="eastAsia" w:ascii="Times New Roman" w:hAnsi="Times New Roman" w:eastAsia="仿宋_GB2312" w:cs="Times New Roman"/>
          <w:sz w:val="32"/>
          <w:szCs w:val="32"/>
          <w:lang w:val="en-US" w:eastAsia="zh-CN" w:bidi="ar-SA"/>
        </w:rPr>
        <w:t>塔山石榴”</w:t>
      </w:r>
      <w:r>
        <w:rPr>
          <w:rFonts w:hint="eastAsia" w:ascii="Times New Roman" w:hAnsi="Times New Roman" w:eastAsia="仿宋_GB2312" w:cs="Times New Roman"/>
          <w:sz w:val="32"/>
          <w:szCs w:val="32"/>
          <w:lang w:val="zh-CN" w:eastAsia="zh-CN" w:bidi="ar-SA"/>
        </w:rPr>
        <w:t>省级地理标志保护示范区建设。</w:t>
      </w:r>
      <w:r>
        <w:rPr>
          <w:rFonts w:hint="eastAsia" w:ascii="仿宋_GB2312" w:hAnsi="仿宋_GB2312" w:eastAsia="仿宋_GB2312" w:cs="仿宋_GB2312"/>
          <w:b/>
          <w:bCs/>
          <w:sz w:val="32"/>
          <w:szCs w:val="32"/>
          <w:lang w:val="en-US" w:eastAsia="zh-CN"/>
        </w:rPr>
        <w:t>二是着力夯实质量基础提升质量水平。</w:t>
      </w:r>
      <w:r>
        <w:rPr>
          <w:rFonts w:hint="eastAsia" w:ascii="Times New Roman" w:hAnsi="Times New Roman" w:eastAsia="仿宋_GB2312" w:cs="Times New Roman"/>
          <w:color w:val="000000"/>
          <w:sz w:val="32"/>
          <w:szCs w:val="32"/>
          <w:lang w:val="en-US" w:eastAsia="zh-CN" w:bidi="ar-SA"/>
        </w:rPr>
        <w:t>认真贯彻落实《质量强国建设纲要》《安徽省质量强省建设纲要》，</w:t>
      </w:r>
      <w:r>
        <w:rPr>
          <w:rFonts w:hint="eastAsia" w:ascii="Times New Roman" w:hAnsi="Times New Roman" w:eastAsia="仿宋_GB2312" w:cs="Times New Roman"/>
          <w:color w:val="000000"/>
          <w:sz w:val="32"/>
          <w:szCs w:val="32"/>
          <w:lang w:val="zh-CN" w:eastAsia="zh-CN" w:bidi="ar-SA"/>
        </w:rPr>
        <w:t>持续开展“四个一”质量提升行动，推进</w:t>
      </w:r>
      <w:r>
        <w:rPr>
          <w:rFonts w:hint="default" w:ascii="Times New Roman" w:hAnsi="Times New Roman" w:eastAsia="仿宋_GB2312" w:cs="Times New Roman"/>
          <w:color w:val="000000"/>
          <w:sz w:val="32"/>
          <w:szCs w:val="32"/>
          <w:lang w:val="zh-CN" w:eastAsia="zh-CN" w:bidi="ar-SA"/>
        </w:rPr>
        <w:t>质量强区创建</w:t>
      </w:r>
      <w:r>
        <w:rPr>
          <w:rFonts w:hint="eastAsia" w:ascii="Times New Roman" w:hAnsi="Times New Roman" w:eastAsia="仿宋_GB2312" w:cs="Times New Roman"/>
          <w:color w:val="000000"/>
          <w:sz w:val="32"/>
          <w:szCs w:val="32"/>
          <w:lang w:val="zh-CN" w:eastAsia="zh-CN" w:bidi="ar-SA"/>
        </w:rPr>
        <w:t>和</w:t>
      </w:r>
      <w:r>
        <w:rPr>
          <w:rFonts w:hint="default" w:ascii="Times New Roman" w:hAnsi="Times New Roman" w:eastAsia="仿宋_GB2312" w:cs="Times New Roman"/>
          <w:color w:val="000000"/>
          <w:sz w:val="32"/>
          <w:szCs w:val="32"/>
          <w:lang w:val="zh-CN" w:eastAsia="zh-CN" w:bidi="ar-SA"/>
        </w:rPr>
        <w:t>质量基础设施“一站式”服务平台建设</w:t>
      </w:r>
      <w:r>
        <w:rPr>
          <w:rFonts w:hint="eastAsia" w:ascii="Times New Roman" w:hAnsi="Times New Roman" w:eastAsia="仿宋_GB2312" w:cs="Times New Roman"/>
          <w:color w:val="000000"/>
          <w:sz w:val="32"/>
          <w:szCs w:val="32"/>
          <w:lang w:val="zh-CN" w:eastAsia="zh-CN" w:bidi="ar-SA"/>
        </w:rPr>
        <w:t>，开展提高产品、工程和服务质量行动。</w:t>
      </w:r>
      <w:r>
        <w:rPr>
          <w:rFonts w:hint="default" w:ascii="Times New Roman" w:hAnsi="Times New Roman" w:eastAsia="仿宋_GB2312" w:cs="Times New Roman"/>
          <w:color w:val="000000"/>
          <w:sz w:val="32"/>
          <w:szCs w:val="32"/>
          <w:lang w:val="en-US" w:eastAsia="zh-CN" w:bidi="ar-SA"/>
        </w:rPr>
        <w:t>加强社会公用计量标准建设</w:t>
      </w:r>
      <w:r>
        <w:rPr>
          <w:rFonts w:hint="eastAsia" w:ascii="Times New Roman" w:hAnsi="Times New Roman" w:eastAsia="仿宋_GB2312" w:cs="Times New Roman"/>
          <w:color w:val="000000"/>
          <w:sz w:val="32"/>
          <w:szCs w:val="32"/>
          <w:lang w:val="en-US" w:eastAsia="zh-CN" w:bidi="ar-SA"/>
        </w:rPr>
        <w:t>，</w:t>
      </w:r>
      <w:r>
        <w:rPr>
          <w:rFonts w:hint="default" w:ascii="Times New Roman" w:hAnsi="Times New Roman" w:eastAsia="仿宋_GB2312" w:cs="Times New Roman"/>
          <w:color w:val="000000"/>
          <w:sz w:val="32"/>
          <w:szCs w:val="32"/>
          <w:lang w:val="zh-CN" w:eastAsia="zh-CN" w:bidi="ar-SA"/>
        </w:rPr>
        <w:t>推进</w:t>
      </w:r>
      <w:r>
        <w:rPr>
          <w:rFonts w:hint="default" w:ascii="Times New Roman" w:hAnsi="Times New Roman" w:eastAsia="仿宋_GB2312" w:cs="Times New Roman"/>
          <w:color w:val="000000"/>
          <w:sz w:val="32"/>
          <w:szCs w:val="32"/>
          <w:lang w:val="en-US" w:eastAsia="zh-CN" w:bidi="ar-SA"/>
        </w:rPr>
        <w:t>新兴产业、乡村振兴、环保、双碳</w:t>
      </w:r>
      <w:r>
        <w:rPr>
          <w:rFonts w:hint="default" w:ascii="Times New Roman" w:hAnsi="Times New Roman" w:eastAsia="仿宋_GB2312" w:cs="Times New Roman"/>
          <w:color w:val="000000"/>
          <w:sz w:val="32"/>
          <w:szCs w:val="32"/>
          <w:lang w:val="zh-CN" w:eastAsia="zh-CN" w:bidi="ar-SA"/>
        </w:rPr>
        <w:t>等全域标准化</w:t>
      </w:r>
      <w:r>
        <w:rPr>
          <w:rFonts w:hint="default" w:ascii="Times New Roman" w:hAnsi="Times New Roman" w:eastAsia="仿宋_GB2312" w:cs="Times New Roman"/>
          <w:color w:val="000000"/>
          <w:sz w:val="32"/>
          <w:szCs w:val="32"/>
          <w:lang w:val="en-US" w:eastAsia="zh-CN" w:bidi="ar-SA"/>
        </w:rPr>
        <w:t>。加强检验检测机构监管</w:t>
      </w:r>
      <w:r>
        <w:rPr>
          <w:rFonts w:hint="eastAsia" w:ascii="Times New Roman" w:hAnsi="Times New Roman" w:eastAsia="仿宋_GB2312" w:cs="Times New Roman"/>
          <w:color w:val="000000"/>
          <w:sz w:val="32"/>
          <w:szCs w:val="32"/>
          <w:lang w:val="en-US" w:eastAsia="zh-CN" w:bidi="ar-SA"/>
        </w:rPr>
        <w:t>，</w:t>
      </w:r>
      <w:r>
        <w:rPr>
          <w:rFonts w:hint="default" w:ascii="Times New Roman" w:hAnsi="Times New Roman" w:eastAsia="仿宋_GB2312" w:cs="Times New Roman"/>
          <w:color w:val="000000"/>
          <w:sz w:val="32"/>
          <w:szCs w:val="32"/>
          <w:lang w:val="en-US" w:eastAsia="zh-CN" w:bidi="ar-SA"/>
        </w:rPr>
        <w:t>推进小微企业质量管理体系认证提升行动</w:t>
      </w:r>
      <w:r>
        <w:rPr>
          <w:rFonts w:hint="eastAsia" w:ascii="Times New Roman" w:hAnsi="Times New Roman" w:eastAsia="仿宋_GB2312" w:cs="Times New Roman"/>
          <w:color w:val="000000"/>
          <w:sz w:val="32"/>
          <w:szCs w:val="32"/>
          <w:lang w:val="en-US" w:eastAsia="zh-CN" w:bidi="ar-SA"/>
        </w:rPr>
        <w:t>。</w:t>
      </w:r>
      <w:r>
        <w:rPr>
          <w:rFonts w:hint="default" w:ascii="Times New Roman" w:hAnsi="Times New Roman" w:eastAsia="仿宋_GB2312" w:cs="Times New Roman"/>
          <w:color w:val="000000"/>
          <w:sz w:val="32"/>
          <w:szCs w:val="32"/>
          <w:lang w:val="zh-CN" w:eastAsia="zh-CN" w:bidi="ar-SA"/>
        </w:rPr>
        <w:t>积极推进国家铝基材料及制品质量检验中心批筹工作。</w:t>
      </w:r>
      <w:r>
        <w:rPr>
          <w:rFonts w:hint="eastAsia" w:ascii="Times New Roman" w:hAnsi="Times New Roman" w:eastAsia="仿宋_GB2312" w:cs="Times New Roman"/>
          <w:color w:val="000000"/>
          <w:sz w:val="32"/>
          <w:szCs w:val="32"/>
          <w:lang w:val="en-US" w:eastAsia="zh-CN" w:bidi="ar-SA"/>
        </w:rPr>
        <w:t xml:space="preserve">  </w:t>
      </w:r>
    </w:p>
    <w:p w14:paraId="5C9692C4">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firstLine="643" w:firstLineChars="200"/>
        <w:jc w:val="both"/>
        <w:textAlignment w:val="auto"/>
        <w:rPr>
          <w:rFonts w:hint="eastAsia" w:ascii="Times New Roman" w:hAnsi="Times New Roman" w:eastAsia="仿宋_GB2312" w:cs="Times New Roman"/>
          <w:color w:val="000000"/>
          <w:sz w:val="32"/>
          <w:szCs w:val="32"/>
          <w:lang w:val="en-US" w:eastAsia="zh-CN" w:bidi="ar-SA"/>
        </w:rPr>
      </w:pPr>
      <w:r>
        <w:rPr>
          <w:rFonts w:hint="eastAsia" w:ascii="TimesNewRoman" w:hAnsi="TimesNewRoman" w:eastAsia="仿宋_GB2312" w:cs="TimesNewRoman"/>
          <w:b/>
          <w:bCs w:val="0"/>
          <w:sz w:val="32"/>
          <w:szCs w:val="32"/>
        </w:rPr>
        <w:t>（</w:t>
      </w:r>
      <w:r>
        <w:rPr>
          <w:rFonts w:hint="eastAsia" w:ascii="TimesNewRoman" w:hAnsi="TimesNewRoman" w:eastAsia="仿宋_GB2312" w:cs="TimesNewRoman"/>
          <w:b/>
          <w:bCs w:val="0"/>
          <w:sz w:val="32"/>
          <w:szCs w:val="32"/>
          <w:lang w:val="en-US" w:eastAsia="zh-CN"/>
        </w:rPr>
        <w:t>三</w:t>
      </w:r>
      <w:r>
        <w:rPr>
          <w:rFonts w:hint="eastAsia" w:ascii="TimesNewRoman" w:hAnsi="TimesNewRoman" w:eastAsia="仿宋_GB2312" w:cs="TimesNewRoman"/>
          <w:b/>
          <w:bCs w:val="0"/>
          <w:sz w:val="32"/>
          <w:szCs w:val="32"/>
        </w:rPr>
        <w:t>）</w:t>
      </w:r>
      <w:r>
        <w:rPr>
          <w:rFonts w:hint="eastAsia" w:ascii="仿宋_GB2312" w:hAnsi="仿宋_GB2312" w:eastAsia="仿宋_GB2312" w:cs="仿宋_GB2312"/>
          <w:b/>
          <w:bCs/>
          <w:sz w:val="32"/>
          <w:szCs w:val="32"/>
          <w:lang w:val="en-US" w:eastAsia="zh-CN"/>
        </w:rPr>
        <w:t>在提高监管效能上再提升。</w:t>
      </w:r>
      <w:r>
        <w:rPr>
          <w:rFonts w:hint="eastAsia" w:ascii="仿宋_GB2312" w:hAnsi="仿宋_GB2312" w:eastAsia="仿宋_GB2312" w:cs="仿宋_GB2312"/>
          <w:b/>
          <w:bCs/>
          <w:color w:val="000000"/>
          <w:sz w:val="32"/>
          <w:szCs w:val="32"/>
          <w:lang w:val="en-US" w:eastAsia="zh-CN" w:bidi="ar-SA"/>
        </w:rPr>
        <w:t>一是推进法治监管。</w:t>
      </w:r>
      <w:r>
        <w:rPr>
          <w:rFonts w:hint="eastAsia" w:ascii="Times New Roman" w:hAnsi="Times New Roman" w:eastAsia="仿宋_GB2312" w:cs="Times New Roman"/>
          <w:color w:val="000000"/>
          <w:sz w:val="32"/>
          <w:szCs w:val="32"/>
          <w:lang w:val="en-US" w:eastAsia="zh-CN" w:bidi="ar-SA"/>
        </w:rPr>
        <w:t>严格执行《关于提升全市市场监管系统行政执法人员法律素养的实施意见》，</w:t>
      </w:r>
      <w:r>
        <w:rPr>
          <w:rFonts w:hint="default" w:ascii="Times New Roman" w:hAnsi="Times New Roman" w:eastAsia="仿宋_GB2312" w:cs="Times New Roman"/>
          <w:color w:val="000000"/>
          <w:sz w:val="32"/>
          <w:szCs w:val="32"/>
          <w:lang w:val="zh-CN" w:eastAsia="zh-CN" w:bidi="ar-SA"/>
        </w:rPr>
        <w:t>常态化开设</w:t>
      </w:r>
      <w:r>
        <w:rPr>
          <w:rFonts w:hint="default" w:ascii="Times New Roman" w:hAnsi="Times New Roman" w:eastAsia="仿宋_GB2312" w:cs="Times New Roman"/>
          <w:color w:val="000000"/>
          <w:sz w:val="32"/>
          <w:szCs w:val="32"/>
          <w:lang w:val="en-US" w:eastAsia="zh-CN" w:bidi="ar-SA"/>
        </w:rPr>
        <w:t>市场监管法治大讲堂</w:t>
      </w:r>
      <w:r>
        <w:rPr>
          <w:rFonts w:hint="default" w:ascii="Times New Roman" w:hAnsi="Times New Roman" w:eastAsia="仿宋_GB2312" w:cs="Times New Roman"/>
          <w:color w:val="000000"/>
          <w:sz w:val="32"/>
          <w:szCs w:val="32"/>
          <w:lang w:val="zh-CN" w:eastAsia="zh-CN" w:bidi="ar-SA"/>
        </w:rPr>
        <w:t>，</w:t>
      </w:r>
      <w:r>
        <w:rPr>
          <w:rFonts w:hint="eastAsia" w:ascii="Times New Roman" w:hAnsi="Times New Roman" w:eastAsia="仿宋_GB2312" w:cs="Times New Roman"/>
          <w:color w:val="000000"/>
          <w:sz w:val="32"/>
          <w:szCs w:val="32"/>
          <w:lang w:val="zh-CN" w:eastAsia="zh-CN" w:bidi="ar-SA"/>
        </w:rPr>
        <w:t>通过“科长上讲堂</w:t>
      </w:r>
      <w:r>
        <w:rPr>
          <w:rFonts w:hint="eastAsia" w:ascii="Times New Roman" w:hAnsi="Times New Roman" w:eastAsia="仿宋_GB2312" w:cs="Times New Roman"/>
          <w:color w:val="000000"/>
          <w:sz w:val="32"/>
          <w:szCs w:val="32"/>
          <w:lang w:val="en-US" w:eastAsia="zh-CN" w:bidi="ar-SA"/>
        </w:rPr>
        <w:t>+专家授课+实战演练</w:t>
      </w:r>
      <w:r>
        <w:rPr>
          <w:rFonts w:hint="eastAsia" w:ascii="Times New Roman" w:hAnsi="Times New Roman" w:eastAsia="仿宋_GB2312" w:cs="Times New Roman"/>
          <w:color w:val="000000"/>
          <w:sz w:val="32"/>
          <w:szCs w:val="32"/>
          <w:lang w:val="zh-CN" w:eastAsia="zh-CN" w:bidi="ar-SA"/>
        </w:rPr>
        <w:t>”的方式，</w:t>
      </w:r>
      <w:r>
        <w:rPr>
          <w:rFonts w:hint="default" w:ascii="Times New Roman" w:hAnsi="Times New Roman" w:eastAsia="仿宋_GB2312" w:cs="Times New Roman"/>
          <w:color w:val="000000"/>
          <w:sz w:val="32"/>
          <w:szCs w:val="32"/>
          <w:lang w:val="en-US" w:eastAsia="zh-CN" w:bidi="ar-SA"/>
        </w:rPr>
        <w:t>开展</w:t>
      </w:r>
      <w:r>
        <w:rPr>
          <w:rFonts w:hint="default" w:ascii="Times New Roman" w:hAnsi="Times New Roman" w:eastAsia="仿宋_GB2312" w:cs="Times New Roman"/>
          <w:color w:val="000000"/>
          <w:sz w:val="32"/>
          <w:szCs w:val="32"/>
          <w:lang w:val="zh-CN" w:eastAsia="zh-CN" w:bidi="ar-SA"/>
        </w:rPr>
        <w:t>综合</w:t>
      </w:r>
      <w:r>
        <w:rPr>
          <w:rFonts w:hint="eastAsia" w:ascii="Times New Roman" w:hAnsi="Times New Roman" w:eastAsia="仿宋_GB2312" w:cs="Times New Roman"/>
          <w:color w:val="000000"/>
          <w:sz w:val="32"/>
          <w:szCs w:val="32"/>
          <w:lang w:val="zh-CN" w:eastAsia="zh-CN" w:bidi="ar-SA"/>
        </w:rPr>
        <w:t>行政</w:t>
      </w:r>
      <w:r>
        <w:rPr>
          <w:rFonts w:hint="default" w:ascii="Times New Roman" w:hAnsi="Times New Roman" w:eastAsia="仿宋_GB2312" w:cs="Times New Roman"/>
          <w:color w:val="000000"/>
          <w:sz w:val="32"/>
          <w:szCs w:val="32"/>
          <w:lang w:val="zh-CN" w:eastAsia="zh-CN" w:bidi="ar-SA"/>
        </w:rPr>
        <w:t>执法业务培训，</w:t>
      </w:r>
      <w:r>
        <w:rPr>
          <w:rFonts w:hint="eastAsia" w:eastAsia="仿宋_GB2312" w:cs="Times New Roman"/>
          <w:sz w:val="32"/>
          <w:szCs w:val="32"/>
          <w:lang w:eastAsia="zh-CN"/>
        </w:rPr>
        <w:t>严格</w:t>
      </w:r>
      <w:r>
        <w:rPr>
          <w:rFonts w:hint="eastAsia" w:ascii="仿宋_GB2312" w:eastAsia="仿宋_GB2312"/>
          <w:sz w:val="32"/>
          <w:szCs w:val="32"/>
          <w:lang w:eastAsia="zh-CN"/>
        </w:rPr>
        <w:t>落实行政执法“三项制度”，</w:t>
      </w:r>
      <w:r>
        <w:rPr>
          <w:rFonts w:hint="default" w:ascii="Times New Roman" w:hAnsi="Times New Roman" w:eastAsia="仿宋_GB2312" w:cs="Times New Roman"/>
          <w:sz w:val="32"/>
          <w:szCs w:val="32"/>
        </w:rPr>
        <w:t>规范执法自由裁量权</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color w:val="000000"/>
          <w:sz w:val="32"/>
          <w:szCs w:val="32"/>
          <w:lang w:val="zh-CN" w:eastAsia="zh-CN" w:bidi="ar-SA"/>
        </w:rPr>
        <w:t>不断</w:t>
      </w:r>
      <w:r>
        <w:rPr>
          <w:rFonts w:hint="eastAsia" w:ascii="Times New Roman" w:hAnsi="Times New Roman" w:eastAsia="仿宋_GB2312" w:cs="Times New Roman"/>
          <w:color w:val="000000"/>
          <w:sz w:val="32"/>
          <w:szCs w:val="32"/>
          <w:lang w:val="zh-CN" w:eastAsia="zh-CN" w:bidi="ar-SA"/>
        </w:rPr>
        <w:t>提升</w:t>
      </w:r>
      <w:r>
        <w:rPr>
          <w:rFonts w:hint="default" w:ascii="Times New Roman" w:hAnsi="Times New Roman" w:eastAsia="仿宋_GB2312" w:cs="Times New Roman"/>
          <w:color w:val="000000"/>
          <w:sz w:val="32"/>
          <w:szCs w:val="32"/>
          <w:lang w:val="zh-CN" w:eastAsia="zh-CN" w:bidi="ar-SA"/>
        </w:rPr>
        <w:t>基层执法</w:t>
      </w:r>
      <w:r>
        <w:rPr>
          <w:rFonts w:hint="eastAsia" w:ascii="Times New Roman" w:hAnsi="Times New Roman" w:eastAsia="仿宋_GB2312" w:cs="Times New Roman"/>
          <w:color w:val="000000"/>
          <w:sz w:val="32"/>
          <w:szCs w:val="32"/>
          <w:lang w:val="zh-CN" w:eastAsia="zh-CN" w:bidi="ar-SA"/>
        </w:rPr>
        <w:t>的能力和水平</w:t>
      </w:r>
      <w:r>
        <w:rPr>
          <w:rFonts w:hint="default" w:ascii="Times New Roman" w:hAnsi="Times New Roman" w:eastAsia="仿宋_GB2312" w:cs="Times New Roman"/>
          <w:color w:val="000000"/>
          <w:sz w:val="32"/>
          <w:szCs w:val="32"/>
          <w:lang w:val="zh-CN" w:eastAsia="zh-CN" w:bidi="ar-SA"/>
        </w:rPr>
        <w:t>。</w:t>
      </w:r>
      <w:r>
        <w:rPr>
          <w:rFonts w:hint="eastAsia" w:ascii="Times New Roman" w:hAnsi="Times New Roman" w:eastAsia="仿宋_GB2312" w:cs="Times New Roman"/>
          <w:color w:val="000000"/>
          <w:sz w:val="32"/>
          <w:szCs w:val="32"/>
          <w:lang w:val="zh-CN" w:eastAsia="zh-CN" w:bidi="ar-SA"/>
        </w:rPr>
        <w:t>大力推行</w:t>
      </w:r>
      <w:r>
        <w:rPr>
          <w:rFonts w:hint="default" w:ascii="Times New Roman" w:hAnsi="Times New Roman" w:eastAsia="仿宋_GB2312" w:cs="Times New Roman"/>
          <w:color w:val="000000"/>
          <w:sz w:val="32"/>
          <w:szCs w:val="32"/>
          <w:lang w:val="zh-CN" w:eastAsia="zh-CN" w:bidi="ar-SA"/>
        </w:rPr>
        <w:t>包容审慎监管</w:t>
      </w:r>
      <w:r>
        <w:rPr>
          <w:rFonts w:hint="eastAsia" w:ascii="Times New Roman" w:hAnsi="Times New Roman" w:eastAsia="仿宋_GB2312" w:cs="Times New Roman"/>
          <w:color w:val="000000"/>
          <w:sz w:val="32"/>
          <w:szCs w:val="32"/>
          <w:lang w:val="zh-CN" w:eastAsia="zh-CN" w:bidi="ar-SA"/>
        </w:rPr>
        <w:t>和柔性执法</w:t>
      </w:r>
      <w:r>
        <w:rPr>
          <w:rFonts w:hint="default" w:ascii="Times New Roman" w:hAnsi="Times New Roman" w:eastAsia="仿宋_GB2312" w:cs="Times New Roman"/>
          <w:color w:val="000000"/>
          <w:sz w:val="32"/>
          <w:szCs w:val="32"/>
          <w:lang w:val="zh-CN" w:eastAsia="zh-CN" w:bidi="ar-SA"/>
        </w:rPr>
        <w:t>，</w:t>
      </w:r>
      <w:r>
        <w:rPr>
          <w:rFonts w:hint="eastAsia" w:ascii="Times New Roman" w:hAnsi="Times New Roman" w:eastAsia="仿宋_GB2312" w:cs="Times New Roman"/>
          <w:color w:val="000000"/>
          <w:sz w:val="32"/>
          <w:szCs w:val="32"/>
          <w:lang w:val="zh-CN" w:eastAsia="zh-CN" w:bidi="ar-SA"/>
        </w:rPr>
        <w:t>落实首违免罚和轻微不处罚制度，</w:t>
      </w:r>
      <w:r>
        <w:rPr>
          <w:rFonts w:hint="default" w:ascii="Times New Roman" w:hAnsi="Times New Roman" w:eastAsia="仿宋_GB2312" w:cs="Times New Roman"/>
          <w:color w:val="000000"/>
          <w:sz w:val="32"/>
          <w:szCs w:val="32"/>
          <w:lang w:val="zh-CN" w:eastAsia="zh-CN" w:bidi="ar-SA"/>
        </w:rPr>
        <w:t>树立</w:t>
      </w:r>
      <w:r>
        <w:rPr>
          <w:rFonts w:hint="eastAsia" w:ascii="Times New Roman" w:hAnsi="Times New Roman" w:eastAsia="仿宋_GB2312" w:cs="Times New Roman"/>
          <w:color w:val="000000"/>
          <w:sz w:val="32"/>
          <w:szCs w:val="32"/>
          <w:lang w:val="zh-CN" w:eastAsia="zh-CN" w:bidi="ar-SA"/>
        </w:rPr>
        <w:t>市场监管</w:t>
      </w:r>
      <w:r>
        <w:rPr>
          <w:rFonts w:hint="default" w:ascii="Times New Roman" w:hAnsi="Times New Roman" w:eastAsia="仿宋_GB2312" w:cs="Times New Roman"/>
          <w:color w:val="000000"/>
          <w:sz w:val="32"/>
          <w:szCs w:val="32"/>
          <w:lang w:val="zh-CN" w:eastAsia="zh-CN" w:bidi="ar-SA"/>
        </w:rPr>
        <w:t>良好形象。</w:t>
      </w:r>
      <w:r>
        <w:rPr>
          <w:rFonts w:hint="eastAsia" w:ascii="仿宋_GB2312" w:hAnsi="仿宋_GB2312" w:eastAsia="仿宋_GB2312" w:cs="仿宋_GB2312"/>
          <w:b/>
          <w:bCs/>
          <w:sz w:val="32"/>
          <w:szCs w:val="32"/>
          <w:lang w:val="en-US" w:eastAsia="zh-CN"/>
        </w:rPr>
        <w:t>二是推进信用监管。</w:t>
      </w:r>
      <w:r>
        <w:rPr>
          <w:rFonts w:hint="default" w:ascii="Times New Roman" w:hAnsi="Times New Roman" w:eastAsia="仿宋_GB2312" w:cs="Times New Roman"/>
          <w:sz w:val="32"/>
          <w:szCs w:val="32"/>
          <w:lang w:val="zh-CN"/>
        </w:rPr>
        <w:t>常态化实施“双随机、一公开”监管，深化推广“一业一查”部门联合随机抽查监管模式</w:t>
      </w:r>
      <w:r>
        <w:rPr>
          <w:rFonts w:hint="eastAsia" w:ascii="Times New Roman" w:hAnsi="Times New Roman" w:eastAsia="仿宋_GB2312" w:cs="Times New Roman"/>
          <w:sz w:val="32"/>
          <w:szCs w:val="32"/>
          <w:lang w:val="zh-CN"/>
        </w:rPr>
        <w:t>，</w:t>
      </w:r>
      <w:r>
        <w:rPr>
          <w:rFonts w:hint="eastAsia" w:ascii="仿宋_GB2312" w:hAnsi="仿宋_GB2312" w:eastAsia="仿宋_GB2312" w:cs="仿宋_GB2312"/>
          <w:color w:val="000000"/>
          <w:sz w:val="32"/>
          <w:szCs w:val="32"/>
          <w:lang w:val="en-US" w:eastAsia="zh-CN"/>
        </w:rPr>
        <w:t>强化企业信用风险分类结果运用，提升事中事后监管的集成效应，让监管对违法失信者“无处不在”，对诚信守法者“无事不扰”。持续深化信用承诺、信用修复、失信警示提醒等，推动市场整体诚信水平提升。</w:t>
      </w:r>
      <w:r>
        <w:rPr>
          <w:rFonts w:hint="eastAsia" w:ascii="Times New Roman" w:hAnsi="Times New Roman" w:eastAsia="楷体_GB2312" w:cs="Times New Roman"/>
          <w:b w:val="0"/>
          <w:bCs w:val="0"/>
          <w:sz w:val="32"/>
          <w:szCs w:val="32"/>
          <w:lang w:val="en-US" w:eastAsia="zh-CN"/>
        </w:rPr>
        <w:t>三是</w:t>
      </w:r>
      <w:r>
        <w:rPr>
          <w:rFonts w:hint="default" w:ascii="Times New Roman" w:hAnsi="Times New Roman" w:eastAsia="楷体_GB2312" w:cs="Times New Roman"/>
          <w:b w:val="0"/>
          <w:bCs w:val="0"/>
          <w:sz w:val="32"/>
          <w:szCs w:val="32"/>
          <w:lang w:val="en-US" w:eastAsia="zh-CN"/>
        </w:rPr>
        <w:t>推进智慧监管。</w:t>
      </w:r>
      <w:r>
        <w:rPr>
          <w:rFonts w:hint="default" w:ascii="Times New Roman" w:hAnsi="Times New Roman" w:eastAsia="仿宋_GB2312" w:cs="Times New Roman"/>
          <w:sz w:val="32"/>
          <w:szCs w:val="32"/>
          <w:lang w:val="zh-CN"/>
        </w:rPr>
        <w:t>深入推进</w:t>
      </w:r>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zh-CN"/>
        </w:rPr>
        <w:t>智慧化+信用化+网格化</w:t>
      </w:r>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zh-CN"/>
        </w:rPr>
        <w:t>监管。加快推进</w:t>
      </w:r>
      <w:r>
        <w:rPr>
          <w:rFonts w:hint="default" w:ascii="Times New Roman" w:hAnsi="Times New Roman" w:eastAsia="仿宋_GB2312" w:cs="Times New Roman"/>
          <w:sz w:val="32"/>
          <w:szCs w:val="32"/>
          <w:lang w:val="zh-CN" w:eastAsia="zh-CN"/>
        </w:rPr>
        <w:t>市场监管</w:t>
      </w:r>
      <w:r>
        <w:rPr>
          <w:rFonts w:hint="default" w:ascii="Times New Roman" w:hAnsi="Times New Roman" w:eastAsia="仿宋_GB2312" w:cs="Times New Roman"/>
          <w:sz w:val="32"/>
          <w:szCs w:val="32"/>
          <w:lang w:val="zh-CN"/>
        </w:rPr>
        <w:t>信息化建设</w:t>
      </w:r>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zh-CN"/>
        </w:rPr>
        <w:t>加强数据归集共享，提升网络安全综合保障能力。</w:t>
      </w:r>
      <w:r>
        <w:rPr>
          <w:rFonts w:hint="eastAsia" w:ascii="Times New Roman" w:hAnsi="Times New Roman" w:eastAsia="仿宋_GB2312" w:cs="Times New Roman"/>
          <w:color w:val="000000"/>
          <w:sz w:val="32"/>
          <w:szCs w:val="32"/>
          <w:lang w:val="en-US" w:eastAsia="zh-CN" w:bidi="ar-SA"/>
        </w:rPr>
        <w:t>加强基层市场监管所人员能力培训，</w:t>
      </w:r>
      <w:r>
        <w:rPr>
          <w:rFonts w:hint="default" w:ascii="Times New Roman" w:hAnsi="Times New Roman" w:eastAsia="仿宋_GB2312" w:cs="Times New Roman"/>
          <w:sz w:val="32"/>
          <w:szCs w:val="32"/>
          <w:lang w:val="zh-CN" w:eastAsia="zh-CN"/>
        </w:rPr>
        <w:t>抓好各类</w:t>
      </w:r>
      <w:r>
        <w:rPr>
          <w:rFonts w:hint="default" w:ascii="Times New Roman" w:hAnsi="Times New Roman" w:eastAsia="仿宋_GB2312" w:cs="Times New Roman"/>
          <w:sz w:val="32"/>
          <w:szCs w:val="32"/>
          <w:lang w:val="en-US" w:eastAsia="zh-CN"/>
        </w:rPr>
        <w:t>已建成</w:t>
      </w:r>
      <w:r>
        <w:rPr>
          <w:rFonts w:hint="default" w:ascii="Times New Roman" w:hAnsi="Times New Roman" w:eastAsia="仿宋_GB2312" w:cs="Times New Roman"/>
          <w:sz w:val="32"/>
          <w:szCs w:val="32"/>
          <w:lang w:val="zh-CN" w:eastAsia="zh-CN"/>
        </w:rPr>
        <w:t>信息化系统的推广应用，</w:t>
      </w:r>
      <w:r>
        <w:rPr>
          <w:rFonts w:hint="eastAsia" w:ascii="Times New Roman" w:hAnsi="Times New Roman" w:eastAsia="仿宋_GB2312" w:cs="Times New Roman"/>
          <w:sz w:val="32"/>
          <w:szCs w:val="32"/>
          <w:lang w:val="zh-CN" w:eastAsia="zh-CN"/>
        </w:rPr>
        <w:t>切实</w:t>
      </w:r>
      <w:r>
        <w:rPr>
          <w:rFonts w:hint="eastAsia" w:ascii="Times New Roman" w:hAnsi="Times New Roman" w:eastAsia="仿宋_GB2312" w:cs="Times New Roman"/>
          <w:color w:val="000000"/>
          <w:sz w:val="32"/>
          <w:szCs w:val="32"/>
          <w:lang w:val="en-US" w:eastAsia="zh-CN" w:bidi="ar-SA"/>
        </w:rPr>
        <w:t>提升网格化监管水平和基层监管执法效能。</w:t>
      </w:r>
    </w:p>
    <w:p w14:paraId="10A89BA3">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643" w:firstLineChars="200"/>
        <w:jc w:val="both"/>
        <w:textAlignment w:val="auto"/>
        <w:rPr>
          <w:rFonts w:hint="eastAsia" w:ascii="黑体" w:hAnsi="黑体" w:eastAsia="黑体" w:cs="黑体"/>
          <w:b w:val="0"/>
          <w:bCs w:val="0"/>
          <w:sz w:val="32"/>
          <w:szCs w:val="32"/>
          <w:lang w:val="en-US" w:eastAsia="zh-CN"/>
        </w:rPr>
      </w:pPr>
      <w:r>
        <w:rPr>
          <w:rFonts w:hint="eastAsia" w:ascii="TimesNewRoman" w:hAnsi="TimesNewRoman" w:eastAsia="仿宋_GB2312" w:cs="TimesNewRoman"/>
          <w:b/>
          <w:bCs w:val="0"/>
          <w:sz w:val="32"/>
          <w:szCs w:val="32"/>
        </w:rPr>
        <w:t>（</w:t>
      </w:r>
      <w:r>
        <w:rPr>
          <w:rFonts w:hint="eastAsia" w:ascii="TimesNewRoman" w:hAnsi="TimesNewRoman" w:eastAsia="仿宋_GB2312" w:cs="TimesNewRoman"/>
          <w:b/>
          <w:bCs w:val="0"/>
          <w:sz w:val="32"/>
          <w:szCs w:val="32"/>
          <w:lang w:val="en-US" w:eastAsia="zh-CN"/>
        </w:rPr>
        <w:t>四</w:t>
      </w:r>
      <w:r>
        <w:rPr>
          <w:rFonts w:hint="eastAsia" w:ascii="TimesNewRoman" w:hAnsi="TimesNewRoman" w:eastAsia="仿宋_GB2312" w:cs="TimesNewRoman"/>
          <w:b/>
          <w:bCs w:val="0"/>
          <w:sz w:val="32"/>
          <w:szCs w:val="32"/>
        </w:rPr>
        <w:t>）</w:t>
      </w:r>
      <w:r>
        <w:rPr>
          <w:rFonts w:hint="eastAsia" w:ascii="仿宋_GB2312" w:hAnsi="仿宋_GB2312" w:eastAsia="仿宋_GB2312" w:cs="仿宋_GB2312"/>
          <w:b/>
          <w:bCs/>
          <w:sz w:val="32"/>
          <w:szCs w:val="32"/>
          <w:lang w:val="en-US" w:eastAsia="zh-CN"/>
        </w:rPr>
        <w:t>在守牢安全底线上再提升。</w:t>
      </w:r>
      <w:r>
        <w:rPr>
          <w:rFonts w:hint="eastAsia" w:ascii="仿宋_GB2312" w:hAnsi="仿宋_GB2312" w:eastAsia="仿宋_GB2312" w:cs="仿宋_GB2312"/>
          <w:b/>
          <w:bCs/>
          <w:color w:val="000000"/>
          <w:sz w:val="32"/>
          <w:szCs w:val="32"/>
        </w:rPr>
        <w:t>一是强化食品安全监管</w:t>
      </w:r>
      <w:r>
        <w:rPr>
          <w:rFonts w:hint="eastAsia" w:ascii="仿宋_GB2312" w:hAnsi="仿宋_GB2312" w:eastAsia="仿宋_GB2312" w:cs="仿宋_GB2312"/>
          <w:b/>
          <w:bCs/>
          <w:color w:val="000000"/>
          <w:sz w:val="32"/>
          <w:szCs w:val="32"/>
          <w:lang w:eastAsia="zh-CN"/>
        </w:rPr>
        <w:t>。</w:t>
      </w:r>
      <w:r>
        <w:rPr>
          <w:rFonts w:hint="default" w:ascii="Times New Roman" w:hAnsi="Times New Roman" w:eastAsia="仿宋_GB2312" w:cs="Times New Roman"/>
          <w:sz w:val="32"/>
          <w:szCs w:val="32"/>
          <w:lang w:val="zh-CN"/>
        </w:rPr>
        <w:t>充分发挥食安</w:t>
      </w:r>
      <w:r>
        <w:rPr>
          <w:rFonts w:hint="default" w:ascii="Times New Roman" w:hAnsi="Times New Roman" w:eastAsia="仿宋_GB2312" w:cs="Times New Roman"/>
          <w:sz w:val="32"/>
          <w:szCs w:val="32"/>
          <w:lang w:val="zh-CN" w:eastAsia="zh-CN"/>
        </w:rPr>
        <w:t>办统筹协调</w:t>
      </w:r>
      <w:r>
        <w:rPr>
          <w:rFonts w:hint="default" w:ascii="Times New Roman" w:hAnsi="Times New Roman" w:eastAsia="仿宋_GB2312" w:cs="Times New Roman"/>
          <w:sz w:val="32"/>
          <w:szCs w:val="32"/>
          <w:lang w:val="zh-CN"/>
        </w:rPr>
        <w:t>作用，</w:t>
      </w:r>
      <w:r>
        <w:rPr>
          <w:rFonts w:hint="eastAsia" w:ascii="Times New Roman" w:hAnsi="Times New Roman" w:eastAsia="仿宋_GB2312" w:cs="Times New Roman"/>
          <w:sz w:val="32"/>
          <w:szCs w:val="32"/>
          <w:lang w:val="zh-CN"/>
        </w:rPr>
        <w:t>常态化推进</w:t>
      </w:r>
      <w:r>
        <w:rPr>
          <w:rFonts w:hint="default" w:ascii="Times New Roman" w:hAnsi="Times New Roman" w:eastAsia="仿宋_GB2312" w:cs="Times New Roman"/>
          <w:sz w:val="32"/>
          <w:szCs w:val="32"/>
          <w:lang w:val="zh-CN"/>
        </w:rPr>
        <w:t>“两个责任”</w:t>
      </w:r>
      <w:r>
        <w:rPr>
          <w:rFonts w:hint="eastAsia" w:ascii="Times New Roman" w:hAnsi="Times New Roman" w:eastAsia="仿宋_GB2312" w:cs="Times New Roman"/>
          <w:sz w:val="32"/>
          <w:szCs w:val="32"/>
          <w:lang w:val="zh-CN"/>
        </w:rPr>
        <w:t>落实</w:t>
      </w:r>
      <w:r>
        <w:rPr>
          <w:rFonts w:hint="default" w:ascii="Times New Roman" w:hAnsi="Times New Roman" w:eastAsia="仿宋_GB2312" w:cs="Times New Roman"/>
          <w:sz w:val="32"/>
          <w:szCs w:val="32"/>
          <w:lang w:val="zh-CN"/>
        </w:rPr>
        <w:t>。强化“食安安徽”品牌培育</w:t>
      </w:r>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en-US" w:eastAsia="zh-CN"/>
        </w:rPr>
        <w:t>做好食品安全示范创建。</w:t>
      </w:r>
      <w:r>
        <w:rPr>
          <w:rFonts w:hint="eastAsia" w:ascii="仿宋_GB2312" w:hAnsi="仿宋_GB2312" w:eastAsia="仿宋_GB2312" w:cs="仿宋_GB2312"/>
          <w:b w:val="0"/>
          <w:bCs w:val="0"/>
          <w:color w:val="000000"/>
          <w:sz w:val="32"/>
          <w:szCs w:val="32"/>
        </w:rPr>
        <w:t>深入推进食品生产企业和小作坊常态化规范提升工作</w:t>
      </w:r>
      <w:r>
        <w:rPr>
          <w:rFonts w:hint="eastAsia" w:ascii="仿宋_GB2312" w:hAnsi="仿宋_GB2312" w:eastAsia="仿宋_GB2312" w:cs="仿宋_GB2312"/>
          <w:b w:val="0"/>
          <w:bCs w:val="0"/>
          <w:color w:val="000000"/>
          <w:sz w:val="32"/>
          <w:szCs w:val="32"/>
          <w:lang w:eastAsia="zh-CN"/>
        </w:rPr>
        <w:t>，开展“三小”行业食品安全提升行动。</w:t>
      </w:r>
      <w:r>
        <w:rPr>
          <w:rFonts w:hint="default" w:ascii="Times New Roman" w:hAnsi="Times New Roman" w:eastAsia="仿宋_GB2312" w:cs="Times New Roman"/>
          <w:sz w:val="32"/>
          <w:szCs w:val="32"/>
          <w:lang w:val="zh-CN" w:eastAsia="zh-CN"/>
        </w:rPr>
        <w:t>深化“你点我检”“你送我检”主题活动</w:t>
      </w:r>
      <w:r>
        <w:rPr>
          <w:rFonts w:hint="eastAsia" w:ascii="Times New Roman" w:hAnsi="Times New Roman" w:eastAsia="仿宋_GB2312" w:cs="Times New Roman"/>
          <w:sz w:val="32"/>
          <w:szCs w:val="32"/>
          <w:lang w:val="zh-CN" w:eastAsia="zh-CN"/>
        </w:rPr>
        <w:t>。</w:t>
      </w:r>
      <w:r>
        <w:rPr>
          <w:rFonts w:hint="eastAsia" w:ascii="仿宋_GB2312" w:hAnsi="仿宋_GB2312" w:eastAsia="仿宋_GB2312" w:cs="仿宋_GB2312"/>
          <w:b/>
          <w:bCs/>
          <w:color w:val="000000"/>
          <w:sz w:val="32"/>
          <w:szCs w:val="32"/>
          <w:lang w:val="en-US" w:eastAsia="zh-CN"/>
        </w:rPr>
        <w:t>二是</w:t>
      </w:r>
      <w:r>
        <w:rPr>
          <w:rFonts w:hint="eastAsia" w:ascii="仿宋_GB2312" w:hAnsi="仿宋_GB2312" w:eastAsia="仿宋_GB2312" w:cs="仿宋_GB2312"/>
          <w:b/>
          <w:bCs/>
          <w:color w:val="000000"/>
          <w:sz w:val="32"/>
          <w:szCs w:val="32"/>
          <w:lang w:val="zh-CN" w:eastAsia="zh-CN"/>
        </w:rPr>
        <w:t>强化药品安全监管。</w:t>
      </w:r>
      <w:r>
        <w:rPr>
          <w:rFonts w:hint="eastAsia" w:ascii="仿宋_GB2312" w:hAnsi="仿宋_GB2312" w:eastAsia="仿宋_GB2312" w:cs="仿宋_GB2312"/>
          <w:color w:val="000000"/>
          <w:sz w:val="32"/>
          <w:szCs w:val="32"/>
        </w:rPr>
        <w:t>纵深推进药品安全巩固提升行动，</w:t>
      </w:r>
      <w:r>
        <w:rPr>
          <w:rFonts w:hint="eastAsia" w:ascii="仿宋_GB2312" w:hAnsi="仿宋_GB2312" w:eastAsia="仿宋_GB2312" w:cs="仿宋_GB2312"/>
          <w:color w:val="000000"/>
          <w:sz w:val="32"/>
          <w:szCs w:val="32"/>
          <w:lang w:eastAsia="zh-CN"/>
        </w:rPr>
        <w:t>扎实开展</w:t>
      </w:r>
      <w:r>
        <w:rPr>
          <w:rFonts w:hint="default" w:ascii="Times New Roman" w:hAnsi="Times New Roman" w:eastAsia="仿宋_GB2312" w:cs="Times New Roman"/>
          <w:sz w:val="32"/>
          <w:szCs w:val="32"/>
          <w:lang w:val="en-US" w:eastAsia="zh-CN"/>
        </w:rPr>
        <w:t>“药品安全春风行动”“药安乡村”</w:t>
      </w:r>
      <w:r>
        <w:rPr>
          <w:rFonts w:hint="eastAsia" w:ascii="Times New Roman" w:hAnsi="Times New Roman" w:eastAsia="仿宋_GB2312" w:cs="Times New Roman"/>
          <w:sz w:val="32"/>
          <w:szCs w:val="32"/>
          <w:lang w:val="en-US" w:eastAsia="zh-CN"/>
        </w:rPr>
        <w:t>等各类专项整治行动，</w:t>
      </w:r>
      <w:r>
        <w:rPr>
          <w:rFonts w:hint="eastAsia" w:ascii="仿宋_GB2312" w:hAnsi="仿宋_GB2312" w:eastAsia="仿宋_GB2312" w:cs="仿宋_GB2312"/>
          <w:color w:val="000000"/>
          <w:sz w:val="32"/>
          <w:szCs w:val="32"/>
        </w:rPr>
        <w:t>全面排查化解风险隐患，严厉打击违法犯罪</w:t>
      </w:r>
      <w:r>
        <w:rPr>
          <w:rFonts w:hint="eastAsia" w:ascii="仿宋_GB2312" w:hAnsi="仿宋_GB2312" w:eastAsia="仿宋_GB2312" w:cs="仿宋_GB2312"/>
          <w:color w:val="000000"/>
          <w:sz w:val="32"/>
          <w:szCs w:val="32"/>
          <w:lang w:eastAsia="zh-CN"/>
        </w:rPr>
        <w:t>行为。</w:t>
      </w:r>
      <w:r>
        <w:rPr>
          <w:rFonts w:hint="eastAsia" w:ascii="仿宋_GB2312" w:hAnsi="仿宋_GB2312" w:eastAsia="仿宋_GB2312" w:cs="仿宋_GB2312"/>
          <w:color w:val="000000"/>
          <w:sz w:val="32"/>
          <w:szCs w:val="32"/>
        </w:rPr>
        <w:t>强化</w:t>
      </w:r>
      <w:r>
        <w:rPr>
          <w:rFonts w:hint="eastAsia" w:ascii="仿宋_GB2312" w:hAnsi="仿宋_GB2312" w:eastAsia="仿宋_GB2312" w:cs="仿宋_GB2312"/>
          <w:color w:val="000000"/>
          <w:sz w:val="32"/>
          <w:szCs w:val="32"/>
          <w:lang w:eastAsia="zh-CN"/>
        </w:rPr>
        <w:t>药品</w:t>
      </w:r>
      <w:r>
        <w:rPr>
          <w:rFonts w:hint="eastAsia" w:ascii="仿宋_GB2312" w:hAnsi="仿宋_GB2312" w:eastAsia="仿宋_GB2312" w:cs="仿宋_GB2312"/>
          <w:color w:val="000000"/>
          <w:sz w:val="32"/>
          <w:szCs w:val="32"/>
        </w:rPr>
        <w:t>监管能力建设，深化“百名专家助药企”活动，全力服务医药产业</w:t>
      </w:r>
      <w:r>
        <w:rPr>
          <w:rFonts w:hint="eastAsia" w:ascii="Times New Roman" w:hAnsi="Times New Roman" w:eastAsia="仿宋_GB2312" w:cs="Times New Roman"/>
          <w:sz w:val="32"/>
          <w:szCs w:val="32"/>
          <w:lang w:val="zh-CN" w:eastAsia="zh-CN"/>
        </w:rPr>
        <w:t>高质量发展。</w:t>
      </w:r>
      <w:r>
        <w:rPr>
          <w:rFonts w:hint="eastAsia" w:ascii="仿宋_GB2312" w:hAnsi="仿宋_GB2312" w:eastAsia="仿宋_GB2312" w:cs="仿宋_GB2312"/>
          <w:b/>
          <w:bCs/>
          <w:color w:val="000000"/>
          <w:sz w:val="32"/>
          <w:szCs w:val="32"/>
          <w:lang w:val="en-US" w:eastAsia="zh-CN"/>
        </w:rPr>
        <w:t>三是强化重点工业</w:t>
      </w:r>
      <w:r>
        <w:rPr>
          <w:rFonts w:hint="eastAsia" w:ascii="仿宋_GB2312" w:hAnsi="仿宋_GB2312" w:eastAsia="仿宋_GB2312" w:cs="仿宋_GB2312"/>
          <w:b/>
          <w:bCs/>
          <w:color w:val="000000"/>
          <w:sz w:val="32"/>
          <w:szCs w:val="32"/>
          <w:lang w:val="zh-CN" w:eastAsia="zh-CN"/>
        </w:rPr>
        <w:t>产品质量安全监管。</w:t>
      </w:r>
      <w:r>
        <w:rPr>
          <w:rFonts w:hint="eastAsia" w:ascii="仿宋_GB2312" w:hAnsi="仿宋_GB2312" w:eastAsia="仿宋_GB2312" w:cs="仿宋_GB2312"/>
          <w:color w:val="000000"/>
          <w:sz w:val="32"/>
          <w:szCs w:val="32"/>
          <w:lang w:eastAsia="zh-CN"/>
        </w:rPr>
        <w:t>扎实推进工业产品生产销售单位落实质量安全主体责任，持续开展燃气器具等重点工业产品质量安全隐患排查治理，发挥监督抽查和</w:t>
      </w:r>
      <w:r>
        <w:rPr>
          <w:rFonts w:hint="eastAsia" w:ascii="仿宋_GB2312" w:hAnsi="仿宋_GB2312" w:eastAsia="仿宋_GB2312" w:cs="仿宋_GB2312"/>
          <w:color w:val="000000"/>
          <w:sz w:val="32"/>
          <w:szCs w:val="32"/>
        </w:rPr>
        <w:t>风险监测</w:t>
      </w:r>
      <w:r>
        <w:rPr>
          <w:rFonts w:hint="eastAsia" w:ascii="仿宋_GB2312" w:hAnsi="仿宋_GB2312" w:eastAsia="仿宋_GB2312" w:cs="仿宋_GB2312"/>
          <w:color w:val="000000"/>
          <w:sz w:val="32"/>
          <w:szCs w:val="32"/>
          <w:lang w:eastAsia="zh-CN"/>
        </w:rPr>
        <w:t>效能，坚决防止“三无”、不合格产品流入市场。深化产品质量技术帮扶“巡回问诊进万企”三年行动，</w:t>
      </w:r>
      <w:r>
        <w:rPr>
          <w:rFonts w:hint="eastAsia" w:ascii="仿宋_GB2312" w:hAnsi="仿宋_GB2312" w:eastAsia="仿宋_GB2312" w:cs="仿宋_GB2312"/>
          <w:color w:val="000000"/>
          <w:sz w:val="32"/>
          <w:szCs w:val="32"/>
        </w:rPr>
        <w:t>聚焦重点</w:t>
      </w:r>
      <w:r>
        <w:rPr>
          <w:rFonts w:hint="eastAsia" w:ascii="仿宋_GB2312" w:hAnsi="仿宋_GB2312" w:eastAsia="仿宋_GB2312" w:cs="仿宋_GB2312"/>
          <w:color w:val="000000"/>
          <w:sz w:val="32"/>
          <w:szCs w:val="32"/>
          <w:lang w:eastAsia="zh-CN"/>
        </w:rPr>
        <w:t>领域</w:t>
      </w:r>
      <w:r>
        <w:rPr>
          <w:rFonts w:hint="eastAsia" w:ascii="仿宋_GB2312" w:hAnsi="仿宋_GB2312" w:eastAsia="仿宋_GB2312" w:cs="仿宋_GB2312"/>
          <w:color w:val="000000"/>
          <w:sz w:val="32"/>
          <w:szCs w:val="32"/>
        </w:rPr>
        <w:t>和民</w:t>
      </w:r>
      <w:r>
        <w:rPr>
          <w:rFonts w:hint="eastAsia" w:ascii="仿宋_GB2312" w:hAnsi="仿宋_GB2312" w:eastAsia="仿宋_GB2312" w:cs="仿宋_GB2312"/>
          <w:color w:val="000000"/>
          <w:sz w:val="32"/>
          <w:szCs w:val="32"/>
          <w:lang w:val="en-US" w:eastAsia="zh-CN"/>
        </w:rPr>
        <w:t>生事项</w:t>
      </w:r>
      <w:r>
        <w:rPr>
          <w:rFonts w:hint="default" w:ascii="仿宋_GB2312" w:hAnsi="仿宋_GB2312" w:eastAsia="仿宋_GB2312" w:cs="仿宋_GB2312"/>
          <w:color w:val="000000"/>
          <w:sz w:val="32"/>
          <w:szCs w:val="32"/>
          <w:lang w:val="zh-CN" w:eastAsia="zh-CN"/>
        </w:rPr>
        <w:t>，精准开展质量</w:t>
      </w:r>
      <w:r>
        <w:rPr>
          <w:rFonts w:hint="eastAsia" w:ascii="仿宋_GB2312" w:hAnsi="仿宋_GB2312" w:eastAsia="仿宋_GB2312" w:cs="仿宋_GB2312"/>
          <w:color w:val="000000"/>
          <w:sz w:val="32"/>
          <w:szCs w:val="32"/>
          <w:lang w:val="zh-CN" w:eastAsia="zh-CN"/>
        </w:rPr>
        <w:t>技术帮扶</w:t>
      </w:r>
      <w:r>
        <w:rPr>
          <w:rFonts w:hint="default" w:ascii="仿宋_GB2312" w:hAnsi="仿宋_GB2312" w:eastAsia="仿宋_GB2312" w:cs="仿宋_GB2312"/>
          <w:color w:val="000000"/>
          <w:sz w:val="32"/>
          <w:szCs w:val="32"/>
          <w:lang w:val="zh-CN" w:eastAsia="zh-CN"/>
        </w:rPr>
        <w:t>，促进企业产品质量提升。</w:t>
      </w:r>
      <w:r>
        <w:rPr>
          <w:rFonts w:hint="eastAsia" w:ascii="仿宋_GB2312" w:hAnsi="仿宋_GB2312" w:eastAsia="仿宋_GB2312" w:cs="仿宋_GB2312"/>
          <w:b/>
          <w:bCs/>
          <w:color w:val="000000"/>
          <w:sz w:val="32"/>
          <w:szCs w:val="32"/>
          <w:lang w:val="en-US" w:eastAsia="zh-CN"/>
        </w:rPr>
        <w:t>四是</w:t>
      </w:r>
      <w:r>
        <w:rPr>
          <w:rFonts w:hint="eastAsia" w:ascii="仿宋_GB2312" w:hAnsi="仿宋_GB2312" w:eastAsia="仿宋_GB2312" w:cs="仿宋_GB2312"/>
          <w:b/>
          <w:bCs/>
          <w:color w:val="000000"/>
          <w:sz w:val="32"/>
          <w:szCs w:val="32"/>
          <w:lang w:val="zh-CN" w:eastAsia="zh-CN"/>
        </w:rPr>
        <w:t>强化特种设备安全监管。</w:t>
      </w:r>
      <w:r>
        <w:rPr>
          <w:rFonts w:hint="default" w:ascii="Times New Roman" w:hAnsi="Times New Roman" w:eastAsia="仿宋_GB2312" w:cs="Times New Roman"/>
          <w:color w:val="auto"/>
          <w:sz w:val="32"/>
          <w:szCs w:val="32"/>
          <w:lang w:val="zh-CN" w:eastAsia="zh-CN"/>
        </w:rPr>
        <w:t>宣贯实施</w:t>
      </w:r>
      <w:r>
        <w:rPr>
          <w:rFonts w:hint="default" w:ascii="Times New Roman" w:hAnsi="Times New Roman" w:eastAsia="仿宋_GB2312" w:cs="Times New Roman"/>
          <w:color w:val="auto"/>
          <w:sz w:val="32"/>
          <w:szCs w:val="32"/>
          <w:lang w:val="en-US" w:eastAsia="zh-CN"/>
        </w:rPr>
        <w:t>特种设备生产使用单位落实生产安全主体责任监督管理“两个规定”</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聚焦重点领域、重点场所、重点设备，持续开展日常监督检查，</w:t>
      </w:r>
      <w:r>
        <w:rPr>
          <w:rFonts w:hint="eastAsia" w:ascii="Times New Roman" w:hAnsi="Times New Roman" w:eastAsia="仿宋_GB2312" w:cs="Times New Roman"/>
          <w:color w:val="auto"/>
          <w:sz w:val="32"/>
          <w:szCs w:val="32"/>
          <w:lang w:val="en-US" w:eastAsia="zh-CN"/>
        </w:rPr>
        <w:t>开展各类专项整治。扩大电梯安全信息化终端覆盖范围，优化升级气瓶安全信息化系统，提升智慧监管水平</w:t>
      </w:r>
      <w:r>
        <w:rPr>
          <w:rFonts w:hint="eastAsia" w:ascii="黑体" w:hAnsi="黑体" w:eastAsia="黑体" w:cs="黑体"/>
          <w:b w:val="0"/>
          <w:bCs w:val="0"/>
          <w:sz w:val="32"/>
          <w:szCs w:val="32"/>
          <w:lang w:val="en-US" w:eastAsia="zh-CN"/>
        </w:rPr>
        <w:t>。</w:t>
      </w:r>
    </w:p>
    <w:p w14:paraId="6389671D">
      <w:pPr>
        <w:pStyle w:val="4"/>
        <w:adjustRightInd w:val="0"/>
        <w:snapToGrid w:val="0"/>
        <w:spacing w:line="560" w:lineRule="exact"/>
        <w:ind w:firstLine="630" w:firstLineChars="196"/>
        <w:rPr>
          <w:rFonts w:ascii="TimesNewRoman" w:hAnsi="TimesNewRoman" w:eastAsia="仿宋_GB2312" w:cs="TimesNewRoman"/>
          <w:bCs/>
          <w:sz w:val="32"/>
          <w:szCs w:val="32"/>
        </w:rPr>
      </w:pPr>
      <w:r>
        <w:rPr>
          <w:rFonts w:hint="eastAsia" w:ascii="TimesNewRoman" w:hAnsi="TimesNewRoman" w:eastAsia="仿宋_GB2312" w:cs="TimesNewRoman"/>
          <w:b/>
          <w:bCs w:val="0"/>
          <w:sz w:val="32"/>
          <w:szCs w:val="32"/>
        </w:rPr>
        <w:t>（</w:t>
      </w:r>
      <w:r>
        <w:rPr>
          <w:rFonts w:hint="eastAsia" w:ascii="TimesNewRoman" w:hAnsi="TimesNewRoman" w:eastAsia="仿宋_GB2312" w:cs="TimesNewRoman"/>
          <w:b/>
          <w:bCs w:val="0"/>
          <w:sz w:val="32"/>
          <w:szCs w:val="32"/>
          <w:lang w:val="en-US" w:eastAsia="zh-CN"/>
        </w:rPr>
        <w:t>五</w:t>
      </w:r>
      <w:r>
        <w:rPr>
          <w:rFonts w:hint="eastAsia" w:ascii="TimesNewRoman" w:hAnsi="TimesNewRoman" w:eastAsia="仿宋_GB2312" w:cs="TimesNewRoman"/>
          <w:b/>
          <w:bCs w:val="0"/>
          <w:sz w:val="32"/>
          <w:szCs w:val="32"/>
        </w:rPr>
        <w:t>）</w:t>
      </w:r>
      <w:r>
        <w:rPr>
          <w:rFonts w:hint="eastAsia" w:ascii="仿宋_GB2312" w:hAnsi="仿宋_GB2312" w:eastAsia="仿宋_GB2312" w:cs="仿宋_GB2312"/>
          <w:b/>
          <w:bCs/>
          <w:sz w:val="32"/>
          <w:szCs w:val="32"/>
          <w:lang w:val="en-US" w:eastAsia="zh-CN"/>
        </w:rPr>
        <w:t>在推进队伍建设上再提升。</w:t>
      </w:r>
      <w:r>
        <w:rPr>
          <w:rFonts w:hint="eastAsia" w:ascii="仿宋_GB2312" w:hAnsi="仿宋_GB2312" w:eastAsia="仿宋_GB2312" w:cs="仿宋_GB2312"/>
          <w:b/>
          <w:bCs/>
          <w:kern w:val="0"/>
          <w:sz w:val="32"/>
          <w:szCs w:val="32"/>
        </w:rPr>
        <w:t>一</w:t>
      </w:r>
      <w:r>
        <w:rPr>
          <w:rFonts w:hint="eastAsia" w:ascii="仿宋_GB2312" w:hAnsi="仿宋_GB2312" w:eastAsia="仿宋_GB2312" w:cs="仿宋_GB2312"/>
          <w:b/>
          <w:bCs/>
          <w:kern w:val="0"/>
          <w:sz w:val="32"/>
          <w:szCs w:val="32"/>
          <w:lang w:eastAsia="zh-CN"/>
        </w:rPr>
        <w:t>是</w:t>
      </w:r>
      <w:r>
        <w:rPr>
          <w:rFonts w:hint="eastAsia" w:ascii="仿宋_GB2312" w:hAnsi="仿宋_GB2312" w:eastAsia="仿宋_GB2312" w:cs="仿宋_GB2312"/>
          <w:b/>
          <w:bCs/>
          <w:kern w:val="0"/>
          <w:sz w:val="32"/>
          <w:szCs w:val="32"/>
        </w:rPr>
        <w:t>持续</w:t>
      </w:r>
      <w:r>
        <w:rPr>
          <w:rFonts w:hint="eastAsia" w:ascii="仿宋_GB2312" w:hAnsi="仿宋_GB2312" w:eastAsia="仿宋_GB2312" w:cs="仿宋_GB2312"/>
          <w:b/>
          <w:bCs/>
          <w:kern w:val="0"/>
          <w:sz w:val="32"/>
          <w:szCs w:val="32"/>
          <w:lang w:eastAsia="zh-CN"/>
        </w:rPr>
        <w:t>夯实</w:t>
      </w:r>
      <w:r>
        <w:rPr>
          <w:rFonts w:hint="eastAsia" w:ascii="仿宋_GB2312" w:hAnsi="仿宋_GB2312" w:eastAsia="仿宋_GB2312" w:cs="仿宋_GB2312"/>
          <w:b/>
          <w:bCs/>
          <w:kern w:val="0"/>
          <w:sz w:val="32"/>
          <w:szCs w:val="32"/>
        </w:rPr>
        <w:t>基层</w:t>
      </w:r>
      <w:r>
        <w:rPr>
          <w:rFonts w:hint="eastAsia" w:ascii="仿宋_GB2312" w:hAnsi="仿宋_GB2312" w:eastAsia="仿宋_GB2312" w:cs="仿宋_GB2312"/>
          <w:b/>
          <w:bCs/>
          <w:kern w:val="0"/>
          <w:sz w:val="32"/>
          <w:szCs w:val="32"/>
          <w:lang w:eastAsia="zh-CN"/>
        </w:rPr>
        <w:t>基础</w:t>
      </w:r>
      <w:r>
        <w:rPr>
          <w:rFonts w:hint="eastAsia" w:ascii="仿宋_GB2312" w:hAnsi="仿宋_GB2312" w:eastAsia="仿宋_GB2312" w:cs="仿宋_GB2312"/>
          <w:b/>
          <w:bCs/>
          <w:kern w:val="0"/>
          <w:sz w:val="32"/>
          <w:szCs w:val="32"/>
        </w:rPr>
        <w:t>。</w:t>
      </w:r>
      <w:r>
        <w:rPr>
          <w:rFonts w:hint="default" w:ascii="Times New Roman" w:hAnsi="Times New Roman" w:eastAsia="仿宋_GB2312" w:cs="Times New Roman"/>
          <w:color w:val="auto"/>
          <w:sz w:val="32"/>
          <w:szCs w:val="32"/>
          <w:lang w:val="en-US" w:eastAsia="zh-CN"/>
        </w:rPr>
        <w:t>牢固树立“大抓基层、长抓基层”的鲜明导向，持续深化基层</w:t>
      </w:r>
      <w:r>
        <w:rPr>
          <w:rFonts w:hint="eastAsia" w:ascii="Times New Roman" w:hAnsi="Times New Roman" w:eastAsia="仿宋_GB2312" w:cs="Times New Roman"/>
          <w:color w:val="auto"/>
          <w:sz w:val="32"/>
          <w:szCs w:val="32"/>
          <w:lang w:val="en-US" w:eastAsia="zh-CN"/>
        </w:rPr>
        <w:t>市场监管所</w:t>
      </w:r>
      <w:r>
        <w:rPr>
          <w:rFonts w:hint="default" w:ascii="Times New Roman" w:hAnsi="Times New Roman" w:eastAsia="仿宋_GB2312" w:cs="Times New Roman"/>
          <w:color w:val="auto"/>
          <w:sz w:val="32"/>
          <w:szCs w:val="32"/>
          <w:lang w:val="en-US" w:eastAsia="zh-CN"/>
        </w:rPr>
        <w:t>标准化规范化建设，</w:t>
      </w:r>
      <w:r>
        <w:rPr>
          <w:rFonts w:hint="eastAsia" w:ascii="Times New Roman" w:hAnsi="Times New Roman" w:eastAsia="仿宋_GB2312" w:cs="Times New Roman"/>
          <w:color w:val="auto"/>
          <w:sz w:val="32"/>
          <w:szCs w:val="32"/>
          <w:lang w:val="en-US" w:eastAsia="zh-CN"/>
        </w:rPr>
        <w:t>积极开展三星级市场监管所评定，打造一批具有引领效应的“示范所”</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不断</w:t>
      </w:r>
      <w:r>
        <w:rPr>
          <w:rFonts w:hint="default" w:ascii="Times New Roman" w:hAnsi="Times New Roman" w:eastAsia="仿宋_GB2312" w:cs="Times New Roman"/>
          <w:color w:val="auto"/>
          <w:sz w:val="32"/>
          <w:szCs w:val="32"/>
          <w:lang w:val="en-US" w:eastAsia="zh-CN"/>
        </w:rPr>
        <w:t>激发基层“雁群活力”。</w:t>
      </w:r>
      <w:r>
        <w:rPr>
          <w:rFonts w:hint="eastAsia" w:ascii="仿宋_GB2312" w:hAnsi="仿宋_GB2312" w:eastAsia="仿宋_GB2312" w:cs="仿宋_GB2312"/>
          <w:b/>
          <w:bCs/>
          <w:kern w:val="0"/>
          <w:sz w:val="32"/>
          <w:szCs w:val="32"/>
          <w:lang w:val="en-US" w:eastAsia="zh-CN" w:bidi="ar-SA"/>
        </w:rPr>
        <w:t>二是不断提高干部素质能力。</w:t>
      </w:r>
      <w:r>
        <w:rPr>
          <w:rFonts w:hint="default" w:ascii="Times New Roman" w:hAnsi="Times New Roman" w:eastAsia="仿宋_GB2312" w:cs="Times New Roman"/>
          <w:color w:val="auto"/>
          <w:sz w:val="32"/>
          <w:szCs w:val="32"/>
          <w:lang w:val="en-US" w:eastAsia="zh-CN"/>
        </w:rPr>
        <w:t>实施干部能力提升工程，</w:t>
      </w:r>
      <w:r>
        <w:rPr>
          <w:rFonts w:hint="eastAsia" w:ascii="Times New Roman" w:hAnsi="Times New Roman" w:eastAsia="仿宋_GB2312" w:cs="Times New Roman"/>
          <w:color w:val="auto"/>
          <w:sz w:val="32"/>
          <w:szCs w:val="32"/>
          <w:lang w:val="en-US" w:eastAsia="zh-CN"/>
        </w:rPr>
        <w:t>加强行风、法治、专业、职业道德，以及市场监管业务通识课程和基层适用的实操类课程等培训，</w:t>
      </w:r>
      <w:r>
        <w:rPr>
          <w:rFonts w:hint="default" w:ascii="Times New Roman" w:hAnsi="Times New Roman" w:eastAsia="仿宋_GB2312" w:cs="Times New Roman"/>
          <w:color w:val="auto"/>
          <w:sz w:val="32"/>
          <w:szCs w:val="32"/>
          <w:lang w:val="en-US" w:eastAsia="zh-CN"/>
        </w:rPr>
        <w:t>全面落实市场监管执法程序规范，</w:t>
      </w:r>
      <w:r>
        <w:rPr>
          <w:rFonts w:hint="eastAsia" w:ascii="Times New Roman" w:hAnsi="Times New Roman" w:eastAsia="仿宋_GB2312" w:cs="Times New Roman"/>
          <w:color w:val="auto"/>
          <w:sz w:val="32"/>
          <w:szCs w:val="32"/>
          <w:lang w:val="en-US" w:eastAsia="zh-CN"/>
        </w:rPr>
        <w:t>强化</w:t>
      </w:r>
      <w:r>
        <w:rPr>
          <w:rFonts w:hint="default" w:ascii="Times New Roman" w:hAnsi="Times New Roman" w:eastAsia="仿宋_GB2312" w:cs="Times New Roman"/>
          <w:color w:val="auto"/>
          <w:sz w:val="32"/>
          <w:szCs w:val="32"/>
          <w:lang w:val="en-US" w:eastAsia="zh-CN"/>
        </w:rPr>
        <w:t>风险防控、舆情应对、恶意投诉举报等能力提升，</w:t>
      </w:r>
      <w:r>
        <w:rPr>
          <w:rFonts w:hint="eastAsia" w:ascii="Times New Roman" w:hAnsi="Times New Roman" w:eastAsia="仿宋_GB2312" w:cs="Times New Roman"/>
          <w:color w:val="auto"/>
          <w:sz w:val="32"/>
          <w:szCs w:val="32"/>
          <w:lang w:val="en-US" w:eastAsia="zh-CN"/>
        </w:rPr>
        <w:t>不断提高干部队伍推动高质量发展、服务群众的本领。</w:t>
      </w:r>
      <w:r>
        <w:rPr>
          <w:rFonts w:hint="eastAsia" w:ascii="仿宋_GB2312" w:hAnsi="仿宋_GB2312" w:eastAsia="仿宋_GB2312" w:cs="仿宋_GB2312"/>
          <w:b/>
          <w:bCs/>
          <w:kern w:val="0"/>
          <w:sz w:val="32"/>
          <w:szCs w:val="32"/>
          <w:lang w:val="en-US" w:eastAsia="zh-CN" w:bidi="ar-SA"/>
        </w:rPr>
        <w:t>三是扎实推进行风建设。</w:t>
      </w:r>
      <w:r>
        <w:rPr>
          <w:rFonts w:hint="eastAsia" w:ascii="仿宋_GB2312" w:hAnsi="仿宋_GB2312" w:eastAsia="仿宋_GB2312" w:cs="仿宋_GB2312"/>
          <w:color w:val="000000"/>
          <w:sz w:val="32"/>
          <w:szCs w:val="32"/>
          <w:lang w:val="en-US" w:eastAsia="zh-CN"/>
        </w:rPr>
        <w:t>压紧压实全面从严治党主体责任，</w:t>
      </w:r>
      <w:r>
        <w:rPr>
          <w:rFonts w:hint="eastAsia" w:ascii="仿宋_GB2312" w:hAnsi="仿宋_GB2312" w:eastAsia="仿宋_GB2312" w:cs="仿宋_GB2312"/>
          <w:color w:val="000000"/>
          <w:sz w:val="32"/>
          <w:szCs w:val="32"/>
          <w:lang w:eastAsia="zh-CN"/>
        </w:rPr>
        <w:t>大力加强警示教育</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lang w:eastAsia="zh-CN"/>
        </w:rPr>
        <w:t>推动党员干部严于律己、严负其责、严管所辖。</w:t>
      </w:r>
      <w:r>
        <w:rPr>
          <w:rFonts w:hint="default" w:ascii="Times New Roman" w:hAnsi="Times New Roman" w:eastAsia="仿宋_GB2312" w:cs="Times New Roman"/>
          <w:color w:val="auto"/>
          <w:sz w:val="32"/>
          <w:szCs w:val="32"/>
          <w:lang w:val="en-US" w:eastAsia="zh-CN" w:bidi="ar-SA"/>
        </w:rPr>
        <w:t>扎实推进全系统行风建设</w:t>
      </w:r>
      <w:r>
        <w:rPr>
          <w:rFonts w:hint="eastAsia" w:ascii="Times New Roman" w:hAnsi="Times New Roman" w:eastAsia="仿宋_GB2312" w:cs="Times New Roman"/>
          <w:color w:val="auto"/>
          <w:sz w:val="32"/>
          <w:szCs w:val="32"/>
          <w:lang w:val="en-US" w:eastAsia="zh-CN" w:bidi="ar-SA"/>
        </w:rPr>
        <w:t>三年攻坚专项行动</w:t>
      </w:r>
      <w:r>
        <w:rPr>
          <w:rFonts w:hint="default" w:ascii="Times New Roman" w:hAnsi="Times New Roman" w:eastAsia="仿宋_GB2312" w:cs="Times New Roman"/>
          <w:color w:val="auto"/>
          <w:sz w:val="32"/>
          <w:szCs w:val="32"/>
          <w:lang w:val="en-US" w:eastAsia="zh-CN" w:bidi="ar-SA"/>
        </w:rPr>
        <w:t>，及时纠正苗头性倾向性问题</w:t>
      </w:r>
      <w:r>
        <w:rPr>
          <w:rFonts w:hint="eastAsia" w:ascii="Times New Roman" w:hAnsi="Times New Roman" w:eastAsia="仿宋_GB2312" w:cs="Times New Roman"/>
          <w:color w:val="auto"/>
          <w:sz w:val="32"/>
          <w:szCs w:val="32"/>
          <w:lang w:val="en-US" w:eastAsia="zh-CN" w:bidi="ar-SA"/>
        </w:rPr>
        <w:t>，</w:t>
      </w:r>
      <w:r>
        <w:rPr>
          <w:rFonts w:hint="eastAsia" w:ascii="仿宋_GB2312" w:hAnsi="仿宋_GB2312" w:eastAsia="仿宋_GB2312" w:cs="仿宋_GB2312"/>
          <w:color w:val="000000"/>
          <w:sz w:val="32"/>
          <w:szCs w:val="32"/>
          <w:lang w:eastAsia="zh-CN"/>
        </w:rPr>
        <w:t>严</w:t>
      </w:r>
      <w:r>
        <w:rPr>
          <w:rFonts w:hint="eastAsia" w:ascii="仿宋_GB2312" w:hAnsi="仿宋_GB2312" w:eastAsia="仿宋_GB2312" w:cs="仿宋_GB2312"/>
          <w:color w:val="000000"/>
          <w:sz w:val="32"/>
          <w:szCs w:val="32"/>
          <w:lang w:val="en-US" w:eastAsia="zh-CN"/>
        </w:rPr>
        <w:t>肃整治拈轻怕重、躺平甩锅、敷衍塞责、得过且过、稀松散漫现象，</w:t>
      </w:r>
      <w:r>
        <w:rPr>
          <w:rFonts w:hint="eastAsia" w:ascii="仿宋_GB2312" w:hAnsi="仿宋_GB2312" w:eastAsia="仿宋_GB2312" w:cs="仿宋_GB2312"/>
          <w:color w:val="000000"/>
          <w:sz w:val="32"/>
          <w:szCs w:val="32"/>
        </w:rPr>
        <w:t>以行风</w:t>
      </w:r>
      <w:r>
        <w:rPr>
          <w:rFonts w:hint="eastAsia" w:ascii="仿宋_GB2312" w:hAnsi="仿宋_GB2312" w:eastAsia="仿宋_GB2312" w:cs="仿宋_GB2312"/>
          <w:color w:val="000000"/>
          <w:sz w:val="32"/>
          <w:szCs w:val="32"/>
          <w:lang w:eastAsia="zh-CN"/>
        </w:rPr>
        <w:t>优化</w:t>
      </w:r>
      <w:r>
        <w:rPr>
          <w:rFonts w:hint="eastAsia" w:ascii="仿宋_GB2312" w:hAnsi="仿宋_GB2312" w:eastAsia="仿宋_GB2312" w:cs="仿宋_GB2312"/>
          <w:color w:val="000000"/>
          <w:sz w:val="32"/>
          <w:szCs w:val="32"/>
        </w:rPr>
        <w:t>促进市场监管工作</w:t>
      </w:r>
      <w:r>
        <w:rPr>
          <w:rFonts w:hint="eastAsia" w:ascii="仿宋_GB2312" w:hAnsi="仿宋_GB2312" w:eastAsia="仿宋_GB2312" w:cs="仿宋_GB2312"/>
          <w:color w:val="000000"/>
          <w:sz w:val="32"/>
          <w:szCs w:val="32"/>
          <w:lang w:eastAsia="zh-CN"/>
        </w:rPr>
        <w:t>不断提升</w:t>
      </w:r>
      <w:r>
        <w:rPr>
          <w:rFonts w:hint="default" w:ascii="Times New Roman" w:hAnsi="Times New Roman" w:eastAsia="仿宋_GB2312" w:cs="Times New Roman"/>
          <w:color w:val="auto"/>
          <w:sz w:val="32"/>
          <w:szCs w:val="32"/>
          <w:lang w:val="en-US" w:eastAsia="zh-CN" w:bidi="ar-SA"/>
        </w:rPr>
        <w:t>。</w:t>
      </w:r>
      <w:r>
        <w:rPr>
          <w:rFonts w:hint="eastAsia" w:ascii="仿宋_GB2312" w:eastAsia="仿宋_GB2312"/>
          <w:sz w:val="32"/>
          <w:szCs w:val="32"/>
        </w:rPr>
        <w:t xml:space="preserve"> </w:t>
      </w:r>
    </w:p>
    <w:p w14:paraId="0148E924">
      <w:pPr>
        <w:pStyle w:val="4"/>
        <w:adjustRightInd w:val="0"/>
        <w:snapToGrid w:val="0"/>
        <w:spacing w:line="560" w:lineRule="exact"/>
        <w:jc w:val="center"/>
        <w:rPr>
          <w:rFonts w:ascii="TimesNewRoman" w:hAnsi="TimesNewRoman" w:eastAsia="黑体" w:cs="TimesNewRoman"/>
          <w:bCs/>
          <w:sz w:val="36"/>
          <w:szCs w:val="36"/>
        </w:rPr>
      </w:pPr>
      <w:r>
        <w:rPr>
          <w:rFonts w:hint="eastAsia" w:ascii="TimesNewRoman" w:hAnsi="TimesNewRoman" w:eastAsia="黑体" w:cs="TimesNewRoman"/>
          <w:bCs/>
          <w:sz w:val="36"/>
          <w:szCs w:val="36"/>
        </w:rPr>
        <w:t>第二部分 2024年部门预算表</w:t>
      </w:r>
    </w:p>
    <w:p w14:paraId="1D5FC5ED">
      <w:pPr>
        <w:pStyle w:val="4"/>
        <w:adjustRightInd w:val="0"/>
        <w:snapToGrid w:val="0"/>
        <w:spacing w:line="560" w:lineRule="exact"/>
        <w:ind w:firstLine="627" w:firstLineChars="196"/>
        <w:jc w:val="center"/>
        <w:rPr>
          <w:rFonts w:hint="eastAsia" w:ascii="TimesNewRoman" w:hAnsi="TimesNewRoman" w:eastAsia="仿宋_GB2312" w:cs="TimesNewRoman"/>
          <w:bCs/>
          <w:sz w:val="32"/>
          <w:szCs w:val="32"/>
          <w:lang w:eastAsia="zh-CN"/>
        </w:rPr>
      </w:pPr>
      <w:r>
        <w:rPr>
          <w:rFonts w:hint="eastAsia" w:ascii="TimesNewRoman" w:hAnsi="TimesNewRoman" w:eastAsia="仿宋_GB2312" w:cs="TimesNewRoman"/>
          <w:bCs/>
          <w:sz w:val="32"/>
          <w:szCs w:val="32"/>
        </w:rPr>
        <w:t>见</w:t>
      </w:r>
      <w:r>
        <w:rPr>
          <w:rFonts w:hint="eastAsia" w:ascii="TimesNewRoman" w:hAnsi="TimesNewRoman" w:eastAsia="仿宋_GB2312" w:cs="TimesNewRoman"/>
          <w:bCs/>
          <w:sz w:val="32"/>
          <w:szCs w:val="32"/>
          <w:lang w:eastAsia="zh-CN"/>
        </w:rPr>
        <w:t>“</w:t>
      </w:r>
      <w:r>
        <w:rPr>
          <w:rFonts w:hint="eastAsia" w:ascii="TimesNewRoman" w:hAnsi="TimesNewRoman" w:eastAsia="仿宋_GB2312" w:cs="TimesNewRoman"/>
          <w:bCs/>
          <w:sz w:val="32"/>
          <w:szCs w:val="32"/>
        </w:rPr>
        <w:t>附件1-2</w:t>
      </w:r>
      <w:r>
        <w:rPr>
          <w:rFonts w:hint="eastAsia" w:ascii="TimesNewRoman" w:hAnsi="TimesNewRoman" w:eastAsia="仿宋_GB2312" w:cs="TimesNewRoman"/>
          <w:bCs/>
          <w:sz w:val="32"/>
          <w:szCs w:val="32"/>
          <w:lang w:val="en-US" w:eastAsia="zh-CN"/>
        </w:rPr>
        <w:t xml:space="preserve"> </w:t>
      </w:r>
      <w:r>
        <w:rPr>
          <w:rFonts w:hint="eastAsia" w:ascii="TimesNewRoman" w:hAnsi="TimesNewRoman" w:eastAsia="仿宋_GB2312" w:cs="TimesNewRoman"/>
          <w:bCs/>
          <w:sz w:val="32"/>
          <w:szCs w:val="32"/>
        </w:rPr>
        <w:t xml:space="preserve"> 202</w:t>
      </w:r>
      <w:r>
        <w:rPr>
          <w:rFonts w:hint="eastAsia" w:ascii="TimesNewRoman" w:hAnsi="TimesNewRoman" w:eastAsia="仿宋_GB2312" w:cs="TimesNewRoman"/>
          <w:bCs/>
          <w:sz w:val="32"/>
          <w:szCs w:val="32"/>
          <w:lang w:val="en-US" w:eastAsia="zh-CN"/>
        </w:rPr>
        <w:t>4</w:t>
      </w:r>
      <w:r>
        <w:rPr>
          <w:rFonts w:hint="eastAsia" w:ascii="TimesNewRoman" w:hAnsi="TimesNewRoman" w:eastAsia="仿宋_GB2312" w:cs="TimesNewRoman"/>
          <w:bCs/>
          <w:sz w:val="32"/>
          <w:szCs w:val="32"/>
        </w:rPr>
        <w:t>年淮北市市场监督管理局</w:t>
      </w:r>
      <w:r>
        <w:rPr>
          <w:rFonts w:hint="eastAsia" w:ascii="TimesNewRoman" w:hAnsi="TimesNewRoman" w:eastAsia="仿宋_GB2312" w:cs="TimesNewRoman"/>
          <w:bCs/>
          <w:sz w:val="32"/>
          <w:szCs w:val="32"/>
          <w:lang w:val="en-US" w:eastAsia="zh-CN"/>
        </w:rPr>
        <w:t>部门预</w:t>
      </w:r>
      <w:r>
        <w:rPr>
          <w:rFonts w:hint="eastAsia" w:ascii="TimesNewRoman" w:hAnsi="TimesNewRoman" w:eastAsia="仿宋_GB2312" w:cs="TimesNewRoman"/>
          <w:bCs/>
          <w:sz w:val="32"/>
          <w:szCs w:val="32"/>
        </w:rPr>
        <w:t>算</w:t>
      </w:r>
      <w:r>
        <w:rPr>
          <w:rFonts w:hint="eastAsia" w:ascii="TimesNewRoman" w:hAnsi="TimesNewRoman" w:eastAsia="仿宋_GB2312" w:cs="TimesNewRoman"/>
          <w:bCs/>
          <w:sz w:val="32"/>
          <w:szCs w:val="32"/>
          <w:lang w:val="en-US" w:eastAsia="zh-CN"/>
        </w:rPr>
        <w:t>公开</w:t>
      </w:r>
      <w:r>
        <w:rPr>
          <w:rFonts w:hint="eastAsia" w:ascii="TimesNewRoman" w:hAnsi="TimesNewRoman" w:eastAsia="仿宋_GB2312" w:cs="TimesNewRoman"/>
          <w:bCs/>
          <w:sz w:val="32"/>
          <w:szCs w:val="32"/>
        </w:rPr>
        <w:t>表</w:t>
      </w:r>
      <w:r>
        <w:rPr>
          <w:rFonts w:hint="eastAsia" w:ascii="TimesNewRoman" w:hAnsi="TimesNewRoman" w:eastAsia="仿宋_GB2312" w:cs="TimesNewRoman"/>
          <w:bCs/>
          <w:sz w:val="32"/>
          <w:szCs w:val="32"/>
          <w:lang w:eastAsia="zh-CN"/>
        </w:rPr>
        <w:t>”</w:t>
      </w:r>
    </w:p>
    <w:p w14:paraId="07DE5257">
      <w:pPr>
        <w:pStyle w:val="4"/>
        <w:adjustRightInd w:val="0"/>
        <w:snapToGrid w:val="0"/>
        <w:spacing w:line="560" w:lineRule="exact"/>
        <w:ind w:firstLine="627" w:firstLineChars="196"/>
        <w:jc w:val="center"/>
        <w:rPr>
          <w:rFonts w:ascii="TimesNewRoman" w:hAnsi="TimesNewRoman" w:eastAsia="仿宋_GB2312" w:cs="TimesNewRoman"/>
          <w:bCs/>
          <w:sz w:val="32"/>
          <w:szCs w:val="32"/>
        </w:rPr>
      </w:pPr>
    </w:p>
    <w:p w14:paraId="7F7FB967">
      <w:r>
        <w:t xml:space="preserve">                                        </w:t>
      </w:r>
    </w:p>
    <w:p w14:paraId="18D98B81">
      <w:pPr>
        <w:pStyle w:val="4"/>
        <w:adjustRightInd w:val="0"/>
        <w:snapToGrid w:val="0"/>
        <w:spacing w:line="560" w:lineRule="exact"/>
        <w:jc w:val="center"/>
        <w:rPr>
          <w:rFonts w:ascii="TimesNewRoman" w:hAnsi="TimesNewRoman" w:eastAsia="黑体" w:cs="TimesNewRoman"/>
          <w:bCs/>
          <w:sz w:val="36"/>
          <w:szCs w:val="36"/>
        </w:rPr>
      </w:pPr>
      <w:r>
        <w:rPr>
          <w:rFonts w:hint="eastAsia" w:ascii="TimesNewRoman" w:hAnsi="TimesNewRoman" w:eastAsia="黑体" w:cs="TimesNewRoman"/>
          <w:bCs/>
          <w:sz w:val="36"/>
          <w:szCs w:val="36"/>
        </w:rPr>
        <w:t>第三部分 2024年部门预算情况说明</w:t>
      </w:r>
    </w:p>
    <w:p w14:paraId="4163FE07">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一、关于2024年收支总表的说明</w:t>
      </w:r>
    </w:p>
    <w:p w14:paraId="3150A88B">
      <w:pPr>
        <w:pStyle w:val="4"/>
        <w:adjustRightInd w:val="0"/>
        <w:snapToGrid w:val="0"/>
        <w:spacing w:line="560" w:lineRule="exact"/>
        <w:ind w:firstLine="627" w:firstLineChars="196"/>
        <w:rPr>
          <w:rFonts w:hint="eastAsia" w:ascii="TimesNewRoman" w:hAnsi="TimesNewRoman" w:eastAsia="仿宋_GB2312" w:cs="TimesNewRoman"/>
          <w:sz w:val="32"/>
          <w:szCs w:val="32"/>
        </w:rPr>
      </w:pPr>
      <w:r>
        <w:rPr>
          <w:rFonts w:hint="eastAsia" w:ascii="TimesNewRoman" w:hAnsi="TimesNewRoman" w:eastAsia="仿宋_GB2312" w:cs="TimesNewRoman"/>
          <w:sz w:val="32"/>
          <w:szCs w:val="32"/>
        </w:rPr>
        <w:t>按照综合预算的原则，淮北市市场监督管理局所有收入和支出均纳入部门预算管理。</w:t>
      </w:r>
      <w:r>
        <w:rPr>
          <w:rFonts w:hint="eastAsia" w:ascii="仿宋_GB2312" w:hAnsi="仿宋" w:eastAsia="仿宋_GB2312"/>
          <w:color w:val="000000"/>
          <w:sz w:val="32"/>
          <w:szCs w:val="32"/>
        </w:rPr>
        <w:t>淮北市市场监督管理局</w:t>
      </w:r>
      <w:r>
        <w:rPr>
          <w:rFonts w:hint="eastAsia" w:ascii="TimesNewRoman" w:hAnsi="TimesNewRoman" w:eastAsia="仿宋_GB2312" w:cs="TimesNewRoman"/>
          <w:sz w:val="32"/>
          <w:szCs w:val="32"/>
        </w:rPr>
        <w:t>2024年收支总预算</w:t>
      </w:r>
      <w:r>
        <w:rPr>
          <w:rFonts w:hint="eastAsia" w:ascii="TimesNewRoman" w:hAnsi="TimesNewRoman" w:eastAsia="仿宋_GB2312" w:cs="TimesNewRoman"/>
          <w:sz w:val="32"/>
          <w:szCs w:val="32"/>
          <w:lang w:val="en-US" w:eastAsia="zh-CN"/>
        </w:rPr>
        <w:t>7472.09万元</w:t>
      </w:r>
      <w:r>
        <w:rPr>
          <w:rFonts w:hint="eastAsia" w:ascii="仿宋_GB2312" w:hAnsi="仿宋" w:eastAsia="仿宋_GB2312" w:cs="宋体"/>
          <w:color w:val="000000"/>
          <w:sz w:val="32"/>
          <w:szCs w:val="32"/>
          <w:lang w:val="en-US" w:eastAsia="zh-CN"/>
        </w:rPr>
        <w:t>，收入全部是一般公共预算拨款收</w:t>
      </w:r>
      <w:r>
        <w:rPr>
          <w:rFonts w:hint="eastAsia" w:ascii="TimesNewRoman" w:hAnsi="TimesNewRoman" w:eastAsia="仿宋_GB2312" w:cs="TimesNewRoman"/>
          <w:sz w:val="32"/>
          <w:szCs w:val="32"/>
          <w:lang w:val="en-US" w:eastAsia="zh-CN"/>
        </w:rPr>
        <w:t>入7472.09万元，支出包括：一般公共服务支出5302.38万元、社会保障和就业支出1177.37万元、卫生健康支出262.01万元、住房保障支出730.33万元。</w:t>
      </w:r>
    </w:p>
    <w:p w14:paraId="686DB6CE">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二、关于2024年收入总表的说明</w:t>
      </w:r>
    </w:p>
    <w:p w14:paraId="300E04C8">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sz w:val="32"/>
          <w:szCs w:val="32"/>
        </w:rPr>
        <w:t>淮北市市场监督管理局</w:t>
      </w:r>
      <w:r>
        <w:rPr>
          <w:rFonts w:hint="eastAsia" w:ascii="TimesNewRoman" w:hAnsi="TimesNewRoman" w:eastAsia="仿宋_GB2312" w:cs="TimesNewRoman"/>
          <w:kern w:val="0"/>
          <w:sz w:val="32"/>
          <w:szCs w:val="32"/>
        </w:rPr>
        <w:t>2024年收入预算</w:t>
      </w:r>
      <w:r>
        <w:rPr>
          <w:rFonts w:hint="eastAsia" w:ascii="TimesNewRoman" w:hAnsi="TimesNewRoman" w:eastAsia="仿宋_GB2312" w:cs="TimesNewRoman"/>
          <w:b/>
          <w:kern w:val="0"/>
          <w:sz w:val="32"/>
          <w:szCs w:val="32"/>
          <w:lang w:val="en-US" w:eastAsia="zh-CN"/>
        </w:rPr>
        <w:t>7472.09</w:t>
      </w:r>
      <w:r>
        <w:rPr>
          <w:rFonts w:hint="eastAsia" w:ascii="TimesNewRoman" w:hAnsi="TimesNewRoman" w:eastAsia="仿宋_GB2312" w:cs="TimesNewRoman"/>
          <w:kern w:val="0"/>
          <w:sz w:val="32"/>
          <w:szCs w:val="32"/>
        </w:rPr>
        <w:t>万元，其中，本年收入</w:t>
      </w:r>
      <w:r>
        <w:rPr>
          <w:rFonts w:hint="eastAsia" w:ascii="TimesNewRoman" w:hAnsi="TimesNewRoman" w:eastAsia="仿宋_GB2312" w:cs="TimesNewRoman"/>
          <w:b/>
          <w:kern w:val="0"/>
          <w:sz w:val="32"/>
          <w:szCs w:val="32"/>
          <w:lang w:val="en-US" w:eastAsia="zh-CN"/>
        </w:rPr>
        <w:t>7472.09</w:t>
      </w:r>
      <w:r>
        <w:rPr>
          <w:rFonts w:hint="eastAsia" w:ascii="TimesNewRoman" w:hAnsi="TimesNewRoman" w:eastAsia="仿宋_GB2312" w:cs="TimesNewRoman"/>
          <w:kern w:val="0"/>
          <w:sz w:val="32"/>
          <w:szCs w:val="32"/>
        </w:rPr>
        <w:t>万元。</w:t>
      </w:r>
    </w:p>
    <w:p w14:paraId="2378114A">
      <w:pPr>
        <w:ind w:firstLine="643" w:firstLineChars="200"/>
        <w:rPr>
          <w:rFonts w:ascii="TimesNewRoman" w:hAnsi="TimesNewRoman" w:eastAsia="仿宋_GB2312" w:cs="TimesNewRoman"/>
          <w:kern w:val="0"/>
          <w:sz w:val="32"/>
          <w:szCs w:val="32"/>
        </w:rPr>
      </w:pPr>
      <w:r>
        <w:rPr>
          <w:rFonts w:hint="eastAsia" w:ascii="TimesNewRoman" w:hAnsi="TimesNewRoman" w:eastAsia="仿宋_GB2312" w:cs="TimesNewRoman"/>
          <w:b/>
          <w:kern w:val="0"/>
          <w:sz w:val="32"/>
          <w:szCs w:val="32"/>
        </w:rPr>
        <w:t>（一）本年收入</w:t>
      </w:r>
      <w:r>
        <w:rPr>
          <w:rFonts w:hint="eastAsia" w:ascii="TimesNewRoman" w:hAnsi="TimesNewRoman" w:eastAsia="仿宋_GB2312" w:cs="TimesNewRoman"/>
          <w:b/>
          <w:kern w:val="0"/>
          <w:sz w:val="32"/>
          <w:szCs w:val="32"/>
          <w:lang w:val="en-US" w:eastAsia="zh-CN"/>
        </w:rPr>
        <w:t>7472.09</w:t>
      </w:r>
      <w:r>
        <w:rPr>
          <w:rFonts w:hint="eastAsia" w:ascii="TimesNewRoman" w:hAnsi="TimesNewRoman" w:eastAsia="仿宋_GB2312" w:cs="TimesNewRoman"/>
          <w:b/>
          <w:kern w:val="0"/>
          <w:sz w:val="32"/>
          <w:szCs w:val="32"/>
        </w:rPr>
        <w:t>万元，</w:t>
      </w:r>
      <w:r>
        <w:rPr>
          <w:rFonts w:hint="eastAsia" w:ascii="TimesNewRoman" w:hAnsi="TimesNewRoman" w:eastAsia="仿宋_GB2312" w:cs="TimesNewRoman"/>
          <w:kern w:val="0"/>
          <w:sz w:val="32"/>
          <w:szCs w:val="32"/>
        </w:rPr>
        <w:t>主要包括：一般公共预算拨款收入</w:t>
      </w:r>
      <w:r>
        <w:rPr>
          <w:rFonts w:hint="eastAsia" w:ascii="TimesNewRoman" w:hAnsi="TimesNewRoman" w:eastAsia="仿宋_GB2312" w:cs="TimesNewRoman"/>
          <w:b/>
          <w:kern w:val="0"/>
          <w:sz w:val="32"/>
          <w:szCs w:val="32"/>
          <w:lang w:val="en-US" w:eastAsia="zh-CN"/>
        </w:rPr>
        <w:t>7472.09</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100</w:t>
      </w:r>
      <w:r>
        <w:rPr>
          <w:rFonts w:hint="eastAsia" w:ascii="TimesNewRoman" w:hAnsi="TimesNewRoman" w:eastAsia="仿宋_GB2312" w:cs="TimesNewRoman"/>
          <w:kern w:val="0"/>
          <w:sz w:val="32"/>
          <w:szCs w:val="32"/>
        </w:rPr>
        <w:t>%，比2023年预算减少</w:t>
      </w:r>
      <w:r>
        <w:rPr>
          <w:rFonts w:hint="eastAsia" w:ascii="TimesNewRoman" w:hAnsi="TimesNewRoman" w:eastAsia="仿宋_GB2312" w:cs="TimesNewRoman"/>
          <w:kern w:val="0"/>
          <w:sz w:val="32"/>
          <w:szCs w:val="32"/>
          <w:lang w:val="en-US" w:eastAsia="zh-CN"/>
        </w:rPr>
        <w:t>133.77</w:t>
      </w:r>
      <w:r>
        <w:rPr>
          <w:rFonts w:hint="eastAsia" w:ascii="TimesNewRoman" w:hAnsi="TimesNewRoman" w:eastAsia="仿宋_GB2312" w:cs="TimesNewRoman"/>
          <w:kern w:val="0"/>
          <w:sz w:val="32"/>
          <w:szCs w:val="32"/>
        </w:rPr>
        <w:t>万元，下降</w:t>
      </w:r>
      <w:r>
        <w:rPr>
          <w:rFonts w:hint="eastAsia" w:ascii="TimesNewRoman" w:hAnsi="TimesNewRoman" w:eastAsia="仿宋_GB2312" w:cs="TimesNewRoman"/>
          <w:kern w:val="0"/>
          <w:sz w:val="32"/>
          <w:szCs w:val="32"/>
          <w:lang w:val="en-US" w:eastAsia="zh-CN"/>
        </w:rPr>
        <w:t>1.76</w:t>
      </w:r>
      <w:r>
        <w:rPr>
          <w:rFonts w:hint="eastAsia" w:ascii="TimesNewRoman" w:hAnsi="TimesNewRoman" w:eastAsia="仿宋_GB2312" w:cs="TimesNewRoman"/>
          <w:kern w:val="0"/>
          <w:sz w:val="32"/>
          <w:szCs w:val="32"/>
        </w:rPr>
        <w:t>%，原因主要是</w:t>
      </w:r>
      <w:r>
        <w:rPr>
          <w:rFonts w:hint="eastAsia" w:ascii="仿宋_GB2312" w:eastAsia="仿宋_GB2312"/>
          <w:sz w:val="32"/>
          <w:szCs w:val="32"/>
        </w:rPr>
        <w:t>主要原因是</w:t>
      </w:r>
      <w:r>
        <w:rPr>
          <w:rFonts w:hint="eastAsia" w:ascii="仿宋_GB2312" w:eastAsia="仿宋_GB2312"/>
          <w:sz w:val="32"/>
          <w:szCs w:val="32"/>
          <w:lang w:val="en-US" w:eastAsia="zh-CN"/>
        </w:rPr>
        <w:t>在职人员减少及计量能力提升项目经费支出减少</w:t>
      </w:r>
      <w:r>
        <w:rPr>
          <w:rFonts w:hint="eastAsia" w:ascii="TimesNewRoman" w:hAnsi="TimesNewRoman" w:eastAsia="仿宋_GB2312" w:cs="TimesNewRoman"/>
          <w:kern w:val="0"/>
          <w:sz w:val="32"/>
          <w:szCs w:val="32"/>
        </w:rPr>
        <w:t>；政府性基金预算拨款收入</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%，比2023年预算增减</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万元，增降</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%，原因主要是</w:t>
      </w:r>
      <w:r>
        <w:rPr>
          <w:rFonts w:hint="eastAsia" w:ascii="仿宋_GB2312" w:eastAsia="仿宋_GB2312"/>
          <w:sz w:val="32"/>
          <w:szCs w:val="32"/>
          <w:lang w:val="en-US" w:eastAsia="zh-CN"/>
        </w:rPr>
        <w:t>本部门无此项支出</w:t>
      </w:r>
      <w:r>
        <w:rPr>
          <w:rFonts w:hint="eastAsia" w:ascii="TimesNewRoman" w:hAnsi="TimesNewRoman" w:eastAsia="仿宋_GB2312" w:cs="TimesNewRoman"/>
          <w:kern w:val="0"/>
          <w:sz w:val="32"/>
          <w:szCs w:val="32"/>
        </w:rPr>
        <w:t>；财政专户管理资金收入</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%，比2023年预算增减</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万元，增降</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%，原因主要是</w:t>
      </w:r>
      <w:r>
        <w:rPr>
          <w:rFonts w:hint="eastAsia" w:ascii="TimesNewRoman" w:hAnsi="TimesNewRoman" w:eastAsia="仿宋_GB2312" w:cs="TimesNewRoman"/>
          <w:kern w:val="0"/>
          <w:sz w:val="32"/>
          <w:szCs w:val="32"/>
          <w:lang w:val="en-US" w:eastAsia="zh-CN"/>
        </w:rPr>
        <w:t>本部门无此项支出</w:t>
      </w:r>
      <w:r>
        <w:rPr>
          <w:rFonts w:hint="eastAsia" w:ascii="TimesNewRoman" w:hAnsi="TimesNewRoman" w:eastAsia="仿宋_GB2312" w:cs="TimesNewRoman"/>
          <w:kern w:val="0"/>
          <w:sz w:val="32"/>
          <w:szCs w:val="32"/>
        </w:rPr>
        <w:t>。</w:t>
      </w:r>
    </w:p>
    <w:p w14:paraId="14706B88">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三、关于2024年支出总表的说明</w:t>
      </w:r>
    </w:p>
    <w:p w14:paraId="18FDE285">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sz w:val="32"/>
          <w:szCs w:val="32"/>
        </w:rPr>
        <w:t>淮北市市场监督管理局</w:t>
      </w:r>
      <w:r>
        <w:rPr>
          <w:rFonts w:hint="eastAsia" w:ascii="TimesNewRoman" w:hAnsi="TimesNewRoman" w:eastAsia="仿宋_GB2312" w:cs="TimesNewRoman"/>
          <w:kern w:val="0"/>
          <w:sz w:val="32"/>
          <w:szCs w:val="32"/>
        </w:rPr>
        <w:t>2024年支出预算</w:t>
      </w:r>
      <w:r>
        <w:rPr>
          <w:rFonts w:hint="eastAsia" w:ascii="TimesNewRoman" w:hAnsi="TimesNewRoman" w:eastAsia="仿宋_GB2312" w:cs="TimesNewRoman"/>
          <w:b/>
          <w:kern w:val="0"/>
          <w:sz w:val="32"/>
          <w:szCs w:val="32"/>
          <w:lang w:val="en-US" w:eastAsia="zh-CN"/>
        </w:rPr>
        <w:t>7472.09</w:t>
      </w:r>
      <w:r>
        <w:rPr>
          <w:rFonts w:hint="eastAsia" w:ascii="TimesNewRoman" w:hAnsi="TimesNewRoman" w:eastAsia="仿宋_GB2312" w:cs="TimesNewRoman"/>
          <w:kern w:val="0"/>
          <w:sz w:val="32"/>
          <w:szCs w:val="32"/>
        </w:rPr>
        <w:t>万元，比2023年预算减少</w:t>
      </w:r>
      <w:r>
        <w:rPr>
          <w:rFonts w:hint="eastAsia" w:ascii="TimesNewRoman" w:hAnsi="TimesNewRoman" w:eastAsia="仿宋_GB2312" w:cs="TimesNewRoman"/>
          <w:kern w:val="0"/>
          <w:sz w:val="32"/>
          <w:szCs w:val="32"/>
          <w:lang w:val="en-US" w:eastAsia="zh-CN"/>
        </w:rPr>
        <w:t>133.77</w:t>
      </w:r>
      <w:r>
        <w:rPr>
          <w:rFonts w:hint="eastAsia" w:ascii="TimesNewRoman" w:hAnsi="TimesNewRoman" w:eastAsia="仿宋_GB2312" w:cs="TimesNewRoman"/>
          <w:kern w:val="0"/>
          <w:sz w:val="32"/>
          <w:szCs w:val="32"/>
        </w:rPr>
        <w:t>万元，下降</w:t>
      </w:r>
      <w:r>
        <w:rPr>
          <w:rFonts w:hint="eastAsia" w:ascii="TimesNewRoman" w:hAnsi="TimesNewRoman" w:eastAsia="仿宋_GB2312" w:cs="TimesNewRoman"/>
          <w:kern w:val="0"/>
          <w:sz w:val="32"/>
          <w:szCs w:val="32"/>
          <w:lang w:val="en-US" w:eastAsia="zh-CN"/>
        </w:rPr>
        <w:t>1.76</w:t>
      </w:r>
      <w:r>
        <w:rPr>
          <w:rFonts w:hint="eastAsia" w:ascii="TimesNewRoman" w:hAnsi="TimesNewRoman" w:eastAsia="仿宋_GB2312" w:cs="TimesNewRoman"/>
          <w:kern w:val="0"/>
          <w:sz w:val="32"/>
          <w:szCs w:val="32"/>
        </w:rPr>
        <w:t>%，原因主要是</w:t>
      </w:r>
      <w:r>
        <w:rPr>
          <w:rFonts w:hint="eastAsia" w:ascii="仿宋_GB2312" w:eastAsia="仿宋_GB2312"/>
          <w:sz w:val="32"/>
          <w:szCs w:val="32"/>
          <w:lang w:val="en-US" w:eastAsia="zh-CN"/>
        </w:rPr>
        <w:t>在职人员减少及计量能力提升项目经费支出减少</w:t>
      </w:r>
      <w:r>
        <w:rPr>
          <w:rFonts w:hint="eastAsia" w:ascii="TimesNewRoman" w:hAnsi="TimesNewRoman" w:eastAsia="仿宋_GB2312" w:cs="TimesNewRoman"/>
          <w:kern w:val="0"/>
          <w:sz w:val="32"/>
          <w:szCs w:val="32"/>
        </w:rPr>
        <w:t>。其中，基本支出</w:t>
      </w:r>
      <w:r>
        <w:rPr>
          <w:rFonts w:hint="eastAsia" w:ascii="TimesNewRoman" w:hAnsi="TimesNewRoman" w:eastAsia="仿宋_GB2312" w:cs="TimesNewRoman"/>
          <w:kern w:val="0"/>
          <w:sz w:val="32"/>
          <w:szCs w:val="32"/>
          <w:lang w:val="en-US" w:eastAsia="zh-CN"/>
        </w:rPr>
        <w:t>5762.49</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77.12</w:t>
      </w:r>
      <w:r>
        <w:rPr>
          <w:rFonts w:hint="eastAsia" w:ascii="TimesNewRoman" w:hAnsi="TimesNewRoman" w:eastAsia="仿宋_GB2312" w:cs="TimesNewRoman"/>
          <w:kern w:val="0"/>
          <w:sz w:val="32"/>
          <w:szCs w:val="32"/>
        </w:rPr>
        <w:t>%，主要用于保障机构日常运转、完成日常工作任务；项目支出</w:t>
      </w:r>
      <w:r>
        <w:rPr>
          <w:rFonts w:hint="eastAsia" w:ascii="TimesNewRoman" w:hAnsi="TimesNewRoman" w:eastAsia="仿宋_GB2312" w:cs="TimesNewRoman"/>
          <w:kern w:val="0"/>
          <w:sz w:val="32"/>
          <w:szCs w:val="32"/>
          <w:lang w:val="en-US" w:eastAsia="zh-CN"/>
        </w:rPr>
        <w:t>1709.60</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22.88</w:t>
      </w:r>
      <w:r>
        <w:rPr>
          <w:rFonts w:hint="eastAsia" w:ascii="TimesNewRoman" w:hAnsi="TimesNewRoman" w:eastAsia="仿宋_GB2312" w:cs="TimesNewRoman"/>
          <w:kern w:val="0"/>
          <w:sz w:val="32"/>
          <w:szCs w:val="32"/>
        </w:rPr>
        <w:t>%，主要用于市场监督管理方面的专项支出</w:t>
      </w:r>
      <w:r>
        <w:rPr>
          <w:rFonts w:hint="eastAsia" w:ascii="TimesNewRoman" w:hAnsi="TimesNewRoman" w:eastAsia="仿宋_GB2312" w:cs="TimesNewRoman"/>
          <w:kern w:val="0"/>
          <w:sz w:val="32"/>
          <w:szCs w:val="32"/>
          <w:lang w:eastAsia="zh-CN"/>
        </w:rPr>
        <w:t>。</w:t>
      </w:r>
    </w:p>
    <w:p w14:paraId="09D5190E">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四、关于2024年财政拨款收支总表的说明</w:t>
      </w:r>
    </w:p>
    <w:p w14:paraId="2BB0885E">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sz w:val="32"/>
          <w:szCs w:val="32"/>
        </w:rPr>
        <w:t>淮北市市场监督管理局</w:t>
      </w:r>
      <w:r>
        <w:rPr>
          <w:rFonts w:hint="eastAsia" w:ascii="TimesNewRoman" w:hAnsi="TimesNewRoman" w:eastAsia="仿宋_GB2312" w:cs="TimesNewRoman"/>
          <w:kern w:val="0"/>
          <w:sz w:val="32"/>
          <w:szCs w:val="32"/>
        </w:rPr>
        <w:t>2024年财政拨款收支预算</w:t>
      </w:r>
      <w:r>
        <w:rPr>
          <w:rFonts w:hint="eastAsia" w:ascii="TimesNewRoman" w:hAnsi="TimesNewRoman" w:eastAsia="仿宋_GB2312" w:cs="TimesNewRoman"/>
          <w:b/>
          <w:kern w:val="0"/>
          <w:sz w:val="32"/>
          <w:szCs w:val="32"/>
          <w:lang w:val="en-US" w:eastAsia="zh-CN"/>
        </w:rPr>
        <w:t>7472.09</w:t>
      </w:r>
      <w:r>
        <w:rPr>
          <w:rFonts w:hint="eastAsia" w:ascii="TimesNewRoman" w:hAnsi="TimesNewRoman" w:eastAsia="仿宋_GB2312" w:cs="TimesNewRoman"/>
          <w:kern w:val="0"/>
          <w:sz w:val="32"/>
          <w:szCs w:val="32"/>
        </w:rPr>
        <w:t>万元。收入按资金来源分为：一般公共预算拨款</w:t>
      </w:r>
      <w:r>
        <w:rPr>
          <w:rFonts w:hint="eastAsia" w:ascii="TimesNewRoman" w:hAnsi="TimesNewRoman" w:eastAsia="仿宋_GB2312" w:cs="TimesNewRoman"/>
          <w:b/>
          <w:kern w:val="0"/>
          <w:sz w:val="32"/>
          <w:szCs w:val="32"/>
          <w:lang w:val="en-US" w:eastAsia="zh-CN"/>
        </w:rPr>
        <w:t>7472.09</w:t>
      </w:r>
      <w:r>
        <w:rPr>
          <w:rFonts w:hint="eastAsia" w:ascii="TimesNewRoman" w:hAnsi="TimesNewRoman" w:eastAsia="仿宋_GB2312" w:cs="TimesNewRoman"/>
          <w:kern w:val="0"/>
          <w:sz w:val="32"/>
          <w:szCs w:val="32"/>
        </w:rPr>
        <w:t>万元、政府性基金预算拨款</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万元；按资金年度分为：本年财政拨款收入</w:t>
      </w:r>
      <w:r>
        <w:rPr>
          <w:rFonts w:hint="eastAsia" w:ascii="TimesNewRoman" w:hAnsi="TimesNewRoman" w:eastAsia="仿宋_GB2312" w:cs="TimesNewRoman"/>
          <w:b/>
          <w:kern w:val="0"/>
          <w:sz w:val="32"/>
          <w:szCs w:val="32"/>
          <w:lang w:val="en-US" w:eastAsia="zh-CN"/>
        </w:rPr>
        <w:t>7472.09</w:t>
      </w:r>
      <w:r>
        <w:rPr>
          <w:rFonts w:hint="eastAsia" w:ascii="TimesNewRoman" w:hAnsi="TimesNewRoman" w:eastAsia="仿宋_GB2312" w:cs="TimesNewRoman"/>
          <w:kern w:val="0"/>
          <w:sz w:val="32"/>
          <w:szCs w:val="32"/>
        </w:rPr>
        <w:t>万元。支出按功能分类分为：一般公共服务支出</w:t>
      </w:r>
      <w:r>
        <w:rPr>
          <w:rFonts w:hint="eastAsia" w:ascii="TimesNewRoman" w:hAnsi="TimesNewRoman" w:eastAsia="仿宋_GB2312" w:cs="TimesNewRoman"/>
          <w:kern w:val="0"/>
          <w:sz w:val="32"/>
          <w:szCs w:val="32"/>
          <w:lang w:val="en-US" w:eastAsia="zh-CN"/>
        </w:rPr>
        <w:t>5302.38</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70.96</w:t>
      </w:r>
      <w:r>
        <w:rPr>
          <w:rFonts w:hint="eastAsia" w:ascii="TimesNewRoman" w:hAnsi="TimesNewRoman" w:eastAsia="仿宋_GB2312" w:cs="TimesNewRoman"/>
          <w:kern w:val="0"/>
          <w:sz w:val="32"/>
          <w:szCs w:val="32"/>
        </w:rPr>
        <w:t>%；社会保障和就业支出</w:t>
      </w:r>
      <w:r>
        <w:rPr>
          <w:rFonts w:hint="eastAsia" w:ascii="TimesNewRoman" w:hAnsi="TimesNewRoman" w:eastAsia="仿宋_GB2312" w:cs="TimesNewRoman"/>
          <w:kern w:val="0"/>
          <w:sz w:val="32"/>
          <w:szCs w:val="32"/>
          <w:lang w:val="en-US" w:eastAsia="zh-CN"/>
        </w:rPr>
        <w:t>1177.37</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15.76</w:t>
      </w:r>
      <w:r>
        <w:rPr>
          <w:rFonts w:hint="eastAsia" w:ascii="TimesNewRoman" w:hAnsi="TimesNewRoman" w:eastAsia="仿宋_GB2312" w:cs="TimesNewRoman"/>
          <w:kern w:val="0"/>
          <w:sz w:val="32"/>
          <w:szCs w:val="32"/>
        </w:rPr>
        <w:t>%；卫生健康支出</w:t>
      </w:r>
      <w:r>
        <w:rPr>
          <w:rFonts w:hint="eastAsia" w:ascii="TimesNewRoman" w:hAnsi="TimesNewRoman" w:eastAsia="仿宋_GB2312" w:cs="TimesNewRoman"/>
          <w:kern w:val="0"/>
          <w:sz w:val="32"/>
          <w:szCs w:val="32"/>
          <w:lang w:val="en-US" w:eastAsia="zh-CN"/>
        </w:rPr>
        <w:t>262.01</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3.51</w:t>
      </w:r>
      <w:r>
        <w:rPr>
          <w:rFonts w:hint="eastAsia" w:ascii="TimesNewRoman" w:hAnsi="TimesNewRoman" w:eastAsia="仿宋_GB2312" w:cs="TimesNewRoman"/>
          <w:kern w:val="0"/>
          <w:sz w:val="32"/>
          <w:szCs w:val="32"/>
        </w:rPr>
        <w:t>%；住房保障支出</w:t>
      </w:r>
      <w:r>
        <w:rPr>
          <w:rFonts w:hint="eastAsia" w:ascii="TimesNewRoman" w:hAnsi="TimesNewRoman" w:eastAsia="仿宋_GB2312" w:cs="TimesNewRoman"/>
          <w:kern w:val="0"/>
          <w:sz w:val="32"/>
          <w:szCs w:val="32"/>
          <w:lang w:val="en-US" w:eastAsia="zh-CN"/>
        </w:rPr>
        <w:t>730.33</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9.77</w:t>
      </w:r>
      <w:r>
        <w:rPr>
          <w:rFonts w:hint="eastAsia" w:ascii="TimesNewRoman" w:hAnsi="TimesNewRoman" w:eastAsia="仿宋_GB2312" w:cs="TimesNewRoman"/>
          <w:kern w:val="0"/>
          <w:sz w:val="32"/>
          <w:szCs w:val="32"/>
        </w:rPr>
        <w:t>%。</w:t>
      </w:r>
    </w:p>
    <w:p w14:paraId="22055921">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五、关于2024年一般公共预算支出表的说明</w:t>
      </w:r>
    </w:p>
    <w:p w14:paraId="0939F921">
      <w:pPr>
        <w:pStyle w:val="4"/>
        <w:adjustRightInd w:val="0"/>
        <w:snapToGrid w:val="0"/>
        <w:spacing w:line="560" w:lineRule="exact"/>
        <w:ind w:firstLine="630" w:firstLineChars="196"/>
        <w:rPr>
          <w:rFonts w:ascii="TimesNewRoman" w:hAnsi="TimesNewRoman" w:eastAsia="楷体_GB2312" w:cs="TimesNewRoman"/>
          <w:b/>
          <w:sz w:val="32"/>
          <w:szCs w:val="32"/>
        </w:rPr>
      </w:pPr>
      <w:r>
        <w:rPr>
          <w:rFonts w:hint="eastAsia" w:ascii="TimesNewRoman" w:hAnsi="TimesNewRoman" w:eastAsia="楷体_GB2312" w:cs="TimesNewRoman"/>
          <w:b/>
          <w:sz w:val="32"/>
          <w:szCs w:val="32"/>
        </w:rPr>
        <w:t>（一）一般公共预算支出规模变化情况。</w:t>
      </w:r>
    </w:p>
    <w:p w14:paraId="515E3A2A">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sz w:val="32"/>
          <w:szCs w:val="32"/>
        </w:rPr>
        <w:t>淮北市市场监督管理局</w:t>
      </w:r>
      <w:r>
        <w:rPr>
          <w:rFonts w:hint="eastAsia" w:ascii="TimesNewRoman" w:hAnsi="TimesNewRoman" w:eastAsia="仿宋_GB2312" w:cs="TimesNewRoman"/>
          <w:kern w:val="0"/>
          <w:sz w:val="32"/>
          <w:szCs w:val="32"/>
        </w:rPr>
        <w:t>2024年一般公共预算支出</w:t>
      </w:r>
      <w:r>
        <w:rPr>
          <w:rFonts w:hint="eastAsia" w:ascii="TimesNewRoman" w:hAnsi="TimesNewRoman" w:eastAsia="仿宋_GB2312" w:cs="TimesNewRoman"/>
          <w:kern w:val="0"/>
          <w:sz w:val="32"/>
          <w:szCs w:val="32"/>
          <w:lang w:val="en-US" w:eastAsia="zh-CN"/>
        </w:rPr>
        <w:t>7472.09</w:t>
      </w:r>
      <w:r>
        <w:rPr>
          <w:rFonts w:hint="eastAsia" w:ascii="TimesNewRoman" w:hAnsi="TimesNewRoman" w:eastAsia="仿宋_GB2312" w:cs="TimesNewRoman"/>
          <w:kern w:val="0"/>
          <w:sz w:val="32"/>
          <w:szCs w:val="32"/>
        </w:rPr>
        <w:t>万元，比2023年预算减少</w:t>
      </w:r>
      <w:r>
        <w:rPr>
          <w:rFonts w:hint="eastAsia" w:ascii="TimesNewRoman" w:hAnsi="TimesNewRoman" w:eastAsia="仿宋_GB2312" w:cs="TimesNewRoman"/>
          <w:kern w:val="0"/>
          <w:sz w:val="32"/>
          <w:szCs w:val="32"/>
          <w:lang w:val="en-US" w:eastAsia="zh-CN"/>
        </w:rPr>
        <w:t>133.77</w:t>
      </w:r>
      <w:r>
        <w:rPr>
          <w:rFonts w:hint="eastAsia" w:ascii="TimesNewRoman" w:hAnsi="TimesNewRoman" w:eastAsia="仿宋_GB2312" w:cs="TimesNewRoman"/>
          <w:kern w:val="0"/>
          <w:sz w:val="32"/>
          <w:szCs w:val="32"/>
        </w:rPr>
        <w:t>万元，下降</w:t>
      </w:r>
      <w:r>
        <w:rPr>
          <w:rFonts w:hint="eastAsia" w:ascii="TimesNewRoman" w:hAnsi="TimesNewRoman" w:eastAsia="仿宋_GB2312" w:cs="TimesNewRoman"/>
          <w:kern w:val="0"/>
          <w:sz w:val="32"/>
          <w:szCs w:val="32"/>
          <w:lang w:val="en-US" w:eastAsia="zh-CN"/>
        </w:rPr>
        <w:t>1.76</w:t>
      </w:r>
      <w:r>
        <w:rPr>
          <w:rFonts w:hint="eastAsia" w:ascii="TimesNewRoman" w:hAnsi="TimesNewRoman" w:eastAsia="仿宋_GB2312" w:cs="TimesNewRoman"/>
          <w:kern w:val="0"/>
          <w:sz w:val="32"/>
          <w:szCs w:val="32"/>
        </w:rPr>
        <w:t>%，主要原因：一是</w:t>
      </w:r>
      <w:r>
        <w:rPr>
          <w:rFonts w:hint="eastAsia" w:ascii="TimesNewRoman" w:hAnsi="TimesNewRoman" w:eastAsia="仿宋_GB2312" w:cs="TimesNewRoman"/>
          <w:kern w:val="0"/>
          <w:sz w:val="32"/>
          <w:szCs w:val="32"/>
          <w:lang w:val="en-US" w:eastAsia="zh-CN"/>
        </w:rPr>
        <w:t>2024年</w:t>
      </w:r>
      <w:r>
        <w:rPr>
          <w:rFonts w:hint="eastAsia" w:ascii="仿宋_GB2312" w:eastAsia="仿宋_GB2312"/>
          <w:sz w:val="32"/>
          <w:szCs w:val="32"/>
          <w:lang w:val="en-US" w:eastAsia="zh-CN"/>
        </w:rPr>
        <w:t>在职人员净减少</w:t>
      </w:r>
      <w:r>
        <w:rPr>
          <w:rFonts w:hint="eastAsia" w:ascii="TimesNewRoman" w:hAnsi="TimesNewRoman" w:eastAsia="仿宋_GB2312" w:cs="TimesNewRoman"/>
          <w:kern w:val="0"/>
          <w:sz w:val="32"/>
          <w:szCs w:val="32"/>
        </w:rPr>
        <w:t>；二是</w:t>
      </w:r>
      <w:r>
        <w:rPr>
          <w:rFonts w:hint="eastAsia" w:ascii="TimesNewRoman" w:hAnsi="TimesNewRoman" w:eastAsia="仿宋_GB2312" w:cs="TimesNewRoman"/>
          <w:kern w:val="0"/>
          <w:sz w:val="32"/>
          <w:szCs w:val="32"/>
          <w:lang w:val="en-US" w:eastAsia="zh-CN"/>
        </w:rPr>
        <w:t>计量所</w:t>
      </w:r>
      <w:r>
        <w:rPr>
          <w:rFonts w:hint="eastAsia" w:ascii="仿宋_GB2312" w:eastAsia="仿宋_GB2312"/>
          <w:sz w:val="32"/>
          <w:szCs w:val="32"/>
          <w:lang w:val="en-US" w:eastAsia="zh-CN"/>
        </w:rPr>
        <w:t>计量能力提升项目经费支出下降</w:t>
      </w:r>
      <w:r>
        <w:rPr>
          <w:rFonts w:hint="eastAsia" w:ascii="TimesNewRoman" w:hAnsi="TimesNewRoman" w:eastAsia="仿宋_GB2312" w:cs="TimesNewRoman"/>
          <w:kern w:val="0"/>
          <w:sz w:val="32"/>
          <w:szCs w:val="32"/>
        </w:rPr>
        <w:t>。</w:t>
      </w:r>
    </w:p>
    <w:p w14:paraId="5E9BED0F">
      <w:pPr>
        <w:pStyle w:val="4"/>
        <w:adjustRightInd w:val="0"/>
        <w:snapToGrid w:val="0"/>
        <w:spacing w:line="560" w:lineRule="exact"/>
        <w:ind w:firstLine="630" w:firstLineChars="196"/>
        <w:rPr>
          <w:rFonts w:ascii="TimesNewRoman" w:hAnsi="TimesNewRoman" w:eastAsia="楷体_GB2312" w:cs="TimesNewRoman"/>
          <w:b/>
          <w:sz w:val="32"/>
          <w:szCs w:val="32"/>
        </w:rPr>
      </w:pPr>
      <w:r>
        <w:rPr>
          <w:rFonts w:hint="eastAsia" w:ascii="TimesNewRoman" w:hAnsi="TimesNewRoman" w:eastAsia="楷体_GB2312" w:cs="TimesNewRoman"/>
          <w:b/>
          <w:sz w:val="32"/>
          <w:szCs w:val="32"/>
        </w:rPr>
        <w:t>（二）一般公共预算支出结构情况。</w:t>
      </w:r>
    </w:p>
    <w:p w14:paraId="5BD4A768">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一般公共服务支出</w:t>
      </w:r>
      <w:r>
        <w:rPr>
          <w:rFonts w:hint="eastAsia" w:ascii="TimesNewRoman" w:hAnsi="TimesNewRoman" w:eastAsia="仿宋_GB2312" w:cs="TimesNewRoman"/>
          <w:kern w:val="0"/>
          <w:sz w:val="32"/>
          <w:szCs w:val="32"/>
          <w:lang w:val="en-US" w:eastAsia="zh-CN"/>
        </w:rPr>
        <w:t>5302.38</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70.96</w:t>
      </w:r>
      <w:r>
        <w:rPr>
          <w:rFonts w:hint="eastAsia" w:ascii="TimesNewRoman" w:hAnsi="TimesNewRoman" w:eastAsia="仿宋_GB2312" w:cs="TimesNewRoman"/>
          <w:kern w:val="0"/>
          <w:sz w:val="32"/>
          <w:szCs w:val="32"/>
        </w:rPr>
        <w:t>%；社会保障和就业支出</w:t>
      </w:r>
      <w:r>
        <w:rPr>
          <w:rFonts w:hint="eastAsia" w:ascii="TimesNewRoman" w:hAnsi="TimesNewRoman" w:eastAsia="仿宋_GB2312" w:cs="TimesNewRoman"/>
          <w:kern w:val="0"/>
          <w:sz w:val="32"/>
          <w:szCs w:val="32"/>
          <w:lang w:val="en-US" w:eastAsia="zh-CN"/>
        </w:rPr>
        <w:t>1177.37</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15.76</w:t>
      </w:r>
      <w:r>
        <w:rPr>
          <w:rFonts w:hint="eastAsia" w:ascii="TimesNewRoman" w:hAnsi="TimesNewRoman" w:eastAsia="仿宋_GB2312" w:cs="TimesNewRoman"/>
          <w:kern w:val="0"/>
          <w:sz w:val="32"/>
          <w:szCs w:val="32"/>
        </w:rPr>
        <w:t>%；卫生健康支出</w:t>
      </w:r>
      <w:r>
        <w:rPr>
          <w:rFonts w:hint="eastAsia" w:ascii="TimesNewRoman" w:hAnsi="TimesNewRoman" w:eastAsia="仿宋_GB2312" w:cs="TimesNewRoman"/>
          <w:kern w:val="0"/>
          <w:sz w:val="32"/>
          <w:szCs w:val="32"/>
          <w:lang w:val="en-US" w:eastAsia="zh-CN"/>
        </w:rPr>
        <w:t>262.01</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3.51</w:t>
      </w:r>
      <w:r>
        <w:rPr>
          <w:rFonts w:hint="eastAsia" w:ascii="TimesNewRoman" w:hAnsi="TimesNewRoman" w:eastAsia="仿宋_GB2312" w:cs="TimesNewRoman"/>
          <w:kern w:val="0"/>
          <w:sz w:val="32"/>
          <w:szCs w:val="32"/>
        </w:rPr>
        <w:t>%；住房保障支出</w:t>
      </w:r>
      <w:r>
        <w:rPr>
          <w:rFonts w:hint="eastAsia" w:ascii="TimesNewRoman" w:hAnsi="TimesNewRoman" w:eastAsia="仿宋_GB2312" w:cs="TimesNewRoman"/>
          <w:kern w:val="0"/>
          <w:sz w:val="32"/>
          <w:szCs w:val="32"/>
          <w:lang w:val="en-US" w:eastAsia="zh-CN"/>
        </w:rPr>
        <w:t>730.33</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9.77</w:t>
      </w:r>
      <w:r>
        <w:rPr>
          <w:rFonts w:hint="eastAsia" w:ascii="TimesNewRoman" w:hAnsi="TimesNewRoman" w:eastAsia="仿宋_GB2312" w:cs="TimesNewRoman"/>
          <w:kern w:val="0"/>
          <w:sz w:val="32"/>
          <w:szCs w:val="32"/>
        </w:rPr>
        <w:t>%。</w:t>
      </w:r>
    </w:p>
    <w:p w14:paraId="7B20036C">
      <w:pPr>
        <w:pStyle w:val="4"/>
        <w:adjustRightInd w:val="0"/>
        <w:snapToGrid w:val="0"/>
        <w:spacing w:line="560" w:lineRule="exact"/>
        <w:ind w:firstLine="630" w:firstLineChars="196"/>
        <w:rPr>
          <w:rFonts w:ascii="TimesNewRoman" w:hAnsi="TimesNewRoman" w:eastAsia="楷体_GB2312" w:cs="TimesNewRoman"/>
          <w:b/>
          <w:sz w:val="32"/>
          <w:szCs w:val="32"/>
        </w:rPr>
      </w:pPr>
      <w:r>
        <w:rPr>
          <w:rFonts w:hint="eastAsia" w:ascii="TimesNewRoman" w:hAnsi="TimesNewRoman" w:eastAsia="楷体_GB2312" w:cs="TimesNewRoman"/>
          <w:b/>
          <w:sz w:val="32"/>
          <w:szCs w:val="32"/>
        </w:rPr>
        <w:t>（三）一般公共预算支出具体使用情况。</w:t>
      </w:r>
    </w:p>
    <w:p w14:paraId="0A3AD092">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1、一般公共服务支出（类）</w:t>
      </w:r>
      <w:r>
        <w:rPr>
          <w:rFonts w:hint="eastAsia" w:ascii="TimesNewRoman" w:hAnsi="TimesNewRoman" w:eastAsia="仿宋_GB2312" w:cs="TimesNewRoman"/>
          <w:kern w:val="0"/>
          <w:sz w:val="32"/>
          <w:szCs w:val="32"/>
          <w:lang w:val="en-US" w:eastAsia="zh-CN"/>
        </w:rPr>
        <w:t>群众团体事务</w:t>
      </w:r>
      <w:r>
        <w:rPr>
          <w:rFonts w:hint="eastAsia" w:ascii="TimesNewRoman" w:hAnsi="TimesNewRoman" w:eastAsia="仿宋_GB2312" w:cs="TimesNewRoman"/>
          <w:kern w:val="0"/>
          <w:sz w:val="32"/>
          <w:szCs w:val="32"/>
        </w:rPr>
        <w:t>（款）</w:t>
      </w:r>
      <w:r>
        <w:rPr>
          <w:rFonts w:hint="eastAsia" w:ascii="TimesNewRoman" w:hAnsi="TimesNewRoman" w:eastAsia="仿宋_GB2312" w:cs="TimesNewRoman"/>
          <w:kern w:val="0"/>
          <w:sz w:val="32"/>
          <w:szCs w:val="32"/>
          <w:lang w:val="en-US" w:eastAsia="zh-CN"/>
        </w:rPr>
        <w:t>工会事务</w:t>
      </w:r>
      <w:r>
        <w:rPr>
          <w:rFonts w:hint="eastAsia" w:ascii="TimesNewRoman" w:hAnsi="TimesNewRoman" w:eastAsia="仿宋_GB2312" w:cs="TimesNewRoman"/>
          <w:kern w:val="0"/>
          <w:sz w:val="32"/>
          <w:szCs w:val="32"/>
        </w:rPr>
        <w:t>（项）202</w:t>
      </w: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0.45</w:t>
      </w:r>
      <w:r>
        <w:rPr>
          <w:rFonts w:hint="eastAsia" w:ascii="TimesNewRoman" w:hAnsi="TimesNewRoman" w:eastAsia="仿宋_GB2312" w:cs="TimesNewRoman"/>
          <w:kern w:val="0"/>
          <w:sz w:val="32"/>
          <w:szCs w:val="32"/>
        </w:rPr>
        <w:t>万元，比202</w:t>
      </w: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年预算增加</w:t>
      </w:r>
      <w:r>
        <w:rPr>
          <w:rFonts w:hint="eastAsia" w:ascii="TimesNewRoman" w:hAnsi="TimesNewRoman" w:eastAsia="仿宋_GB2312" w:cs="TimesNewRoman"/>
          <w:kern w:val="0"/>
          <w:sz w:val="32"/>
          <w:szCs w:val="32"/>
          <w:lang w:val="en-US" w:eastAsia="zh-CN"/>
        </w:rPr>
        <w:t>0.03</w:t>
      </w:r>
      <w:r>
        <w:rPr>
          <w:rFonts w:hint="eastAsia" w:ascii="TimesNewRoman" w:hAnsi="TimesNewRoman" w:eastAsia="仿宋_GB2312" w:cs="TimesNewRoman"/>
          <w:kern w:val="0"/>
          <w:sz w:val="32"/>
          <w:szCs w:val="32"/>
        </w:rPr>
        <w:t>万元，增长</w:t>
      </w:r>
      <w:r>
        <w:rPr>
          <w:rFonts w:hint="eastAsia" w:ascii="TimesNewRoman" w:hAnsi="TimesNewRoman" w:eastAsia="仿宋_GB2312" w:cs="TimesNewRoman"/>
          <w:kern w:val="0"/>
          <w:sz w:val="32"/>
          <w:szCs w:val="32"/>
          <w:lang w:val="en-US" w:eastAsia="zh-CN"/>
        </w:rPr>
        <w:t>7.14%，</w:t>
      </w:r>
      <w:r>
        <w:rPr>
          <w:rFonts w:hint="eastAsia" w:ascii="TimesNewRoman" w:hAnsi="TimesNewRoman" w:eastAsia="仿宋_GB2312" w:cs="TimesNewRoman"/>
          <w:kern w:val="0"/>
          <w:sz w:val="32"/>
          <w:szCs w:val="32"/>
        </w:rPr>
        <w:t>原因主要是</w:t>
      </w:r>
      <w:r>
        <w:rPr>
          <w:rFonts w:hint="eastAsia" w:ascii="TimesNewRoman" w:hAnsi="TimesNewRoman" w:eastAsia="仿宋_GB2312" w:cs="TimesNewRoman"/>
          <w:kern w:val="0"/>
          <w:sz w:val="32"/>
          <w:szCs w:val="32"/>
          <w:lang w:val="en-US" w:eastAsia="zh-CN"/>
        </w:rPr>
        <w:t>政策性增资相应人员工会经费增加。</w:t>
      </w:r>
    </w:p>
    <w:p w14:paraId="6E574783">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2、一般公共服务支出（类）</w:t>
      </w:r>
      <w:r>
        <w:rPr>
          <w:rFonts w:hint="eastAsia" w:ascii="TimesNewRoman" w:hAnsi="TimesNewRoman" w:eastAsia="仿宋_GB2312" w:cs="TimesNewRoman"/>
          <w:kern w:val="0"/>
          <w:sz w:val="32"/>
          <w:szCs w:val="32"/>
          <w:lang w:val="en-US" w:eastAsia="zh-CN"/>
        </w:rPr>
        <w:t>党委办公厅（室）及相关机构事务</w:t>
      </w:r>
      <w:r>
        <w:rPr>
          <w:rFonts w:hint="eastAsia" w:ascii="TimesNewRoman" w:hAnsi="TimesNewRoman" w:eastAsia="仿宋_GB2312" w:cs="TimesNewRoman"/>
          <w:kern w:val="0"/>
          <w:sz w:val="32"/>
          <w:szCs w:val="32"/>
        </w:rPr>
        <w:t>（款）</w:t>
      </w:r>
      <w:r>
        <w:rPr>
          <w:rFonts w:hint="eastAsia" w:ascii="TimesNewRoman" w:hAnsi="TimesNewRoman" w:eastAsia="仿宋_GB2312" w:cs="TimesNewRoman"/>
          <w:kern w:val="0"/>
          <w:sz w:val="32"/>
          <w:szCs w:val="32"/>
          <w:lang w:val="en-US" w:eastAsia="zh-CN"/>
        </w:rPr>
        <w:t>事业运行</w:t>
      </w:r>
      <w:r>
        <w:rPr>
          <w:rFonts w:hint="eastAsia" w:ascii="TimesNewRoman" w:hAnsi="TimesNewRoman" w:eastAsia="仿宋_GB2312" w:cs="TimesNewRoman"/>
          <w:kern w:val="0"/>
          <w:sz w:val="32"/>
          <w:szCs w:val="32"/>
        </w:rPr>
        <w:t>（项）202</w:t>
      </w: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2</w:t>
      </w:r>
      <w:r>
        <w:rPr>
          <w:rFonts w:hint="eastAsia" w:ascii="TimesNewRoman" w:hAnsi="TimesNewRoman" w:eastAsia="仿宋_GB2312" w:cs="TimesNewRoman"/>
          <w:kern w:val="0"/>
          <w:sz w:val="32"/>
          <w:szCs w:val="32"/>
        </w:rPr>
        <w:t>万元，比202</w:t>
      </w: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减少2.8</w:t>
      </w:r>
      <w:r>
        <w:rPr>
          <w:rFonts w:hint="eastAsia" w:ascii="TimesNewRoman" w:hAnsi="TimesNewRoman" w:eastAsia="仿宋_GB2312" w:cs="TimesNewRoman"/>
          <w:kern w:val="0"/>
          <w:sz w:val="32"/>
          <w:szCs w:val="32"/>
        </w:rPr>
        <w:t>万元，下降</w:t>
      </w:r>
      <w:r>
        <w:rPr>
          <w:rFonts w:hint="eastAsia" w:ascii="TimesNewRoman" w:hAnsi="TimesNewRoman" w:eastAsia="仿宋_GB2312" w:cs="TimesNewRoman"/>
          <w:kern w:val="0"/>
          <w:sz w:val="32"/>
          <w:szCs w:val="32"/>
          <w:lang w:val="en-US" w:eastAsia="zh-CN"/>
        </w:rPr>
        <w:t>58.33%，</w:t>
      </w:r>
      <w:r>
        <w:rPr>
          <w:rFonts w:hint="eastAsia" w:ascii="TimesNewRoman" w:hAnsi="TimesNewRoman" w:eastAsia="仿宋_GB2312" w:cs="TimesNewRoman"/>
          <w:kern w:val="0"/>
          <w:sz w:val="32"/>
          <w:szCs w:val="32"/>
        </w:rPr>
        <w:t>原因主要是政府收支分类科目调整。</w:t>
      </w:r>
    </w:p>
    <w:p w14:paraId="37356B79">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3、一般公共服务支出（类）市场监督管理事务（款）</w:t>
      </w:r>
      <w:r>
        <w:rPr>
          <w:rFonts w:hint="eastAsia" w:ascii="TimesNewRoman" w:hAnsi="TimesNewRoman" w:eastAsia="仿宋_GB2312" w:cs="TimesNewRoman"/>
          <w:kern w:val="0"/>
          <w:sz w:val="32"/>
          <w:szCs w:val="32"/>
          <w:lang w:val="en-US" w:eastAsia="zh-CN"/>
        </w:rPr>
        <w:t>行政运行</w:t>
      </w:r>
      <w:r>
        <w:rPr>
          <w:rFonts w:hint="eastAsia" w:ascii="TimesNewRoman" w:hAnsi="TimesNewRoman" w:eastAsia="仿宋_GB2312" w:cs="TimesNewRoman"/>
          <w:kern w:val="0"/>
          <w:sz w:val="32"/>
          <w:szCs w:val="32"/>
        </w:rPr>
        <w:t>（项）202</w:t>
      </w: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1576.10</w:t>
      </w:r>
      <w:r>
        <w:rPr>
          <w:rFonts w:hint="eastAsia" w:ascii="TimesNewRoman" w:hAnsi="TimesNewRoman" w:eastAsia="仿宋_GB2312" w:cs="TimesNewRoman"/>
          <w:kern w:val="0"/>
          <w:sz w:val="32"/>
          <w:szCs w:val="32"/>
        </w:rPr>
        <w:t>万元，比202</w:t>
      </w: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减少73.84</w:t>
      </w:r>
      <w:r>
        <w:rPr>
          <w:rFonts w:hint="eastAsia" w:ascii="TimesNewRoman" w:hAnsi="TimesNewRoman" w:eastAsia="仿宋_GB2312" w:cs="TimesNewRoman"/>
          <w:kern w:val="0"/>
          <w:sz w:val="32"/>
          <w:szCs w:val="32"/>
        </w:rPr>
        <w:t>万元，下降</w:t>
      </w:r>
      <w:r>
        <w:rPr>
          <w:rFonts w:hint="eastAsia" w:ascii="TimesNewRoman" w:hAnsi="TimesNewRoman" w:eastAsia="仿宋_GB2312" w:cs="TimesNewRoman"/>
          <w:kern w:val="0"/>
          <w:sz w:val="32"/>
          <w:szCs w:val="32"/>
          <w:lang w:val="en-US" w:eastAsia="zh-CN"/>
        </w:rPr>
        <w:t>4.48</w:t>
      </w:r>
      <w:r>
        <w:rPr>
          <w:rFonts w:hint="eastAsia" w:ascii="TimesNewRoman" w:hAnsi="TimesNewRoman" w:eastAsia="仿宋_GB2312" w:cs="TimesNewRoman"/>
          <w:kern w:val="0"/>
          <w:sz w:val="32"/>
          <w:szCs w:val="32"/>
        </w:rPr>
        <w:t>%，原因主要是</w:t>
      </w:r>
      <w:r>
        <w:rPr>
          <w:rFonts w:hint="eastAsia" w:ascii="TimesNewRoman" w:hAnsi="TimesNewRoman" w:eastAsia="仿宋_GB2312" w:cs="TimesNewRoman"/>
          <w:kern w:val="0"/>
          <w:sz w:val="32"/>
          <w:szCs w:val="32"/>
          <w:lang w:val="en-US" w:eastAsia="zh-CN"/>
        </w:rPr>
        <w:t>行政在职人员减少，相关工资、津补贴等支出下降</w:t>
      </w:r>
      <w:r>
        <w:rPr>
          <w:rFonts w:hint="eastAsia" w:ascii="TimesNewRoman" w:hAnsi="TimesNewRoman" w:eastAsia="仿宋_GB2312" w:cs="TimesNewRoman"/>
          <w:kern w:val="0"/>
          <w:sz w:val="32"/>
          <w:szCs w:val="32"/>
        </w:rPr>
        <w:t>。</w:t>
      </w:r>
    </w:p>
    <w:p w14:paraId="7514EB21">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4.一般公共服务支出（类）市场监督管理事务（款）一般行政管理事务（项）202</w:t>
      </w: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311.34</w:t>
      </w:r>
      <w:r>
        <w:rPr>
          <w:rFonts w:hint="eastAsia" w:ascii="TimesNewRoman" w:hAnsi="TimesNewRoman" w:eastAsia="仿宋_GB2312" w:cs="TimesNewRoman"/>
          <w:kern w:val="0"/>
          <w:sz w:val="32"/>
          <w:szCs w:val="32"/>
        </w:rPr>
        <w:t>万元，比202</w:t>
      </w: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增加3.74</w:t>
      </w:r>
      <w:r>
        <w:rPr>
          <w:rFonts w:hint="eastAsia" w:ascii="TimesNewRoman" w:hAnsi="TimesNewRoman" w:eastAsia="仿宋_GB2312" w:cs="TimesNewRoman"/>
          <w:kern w:val="0"/>
          <w:sz w:val="32"/>
          <w:szCs w:val="32"/>
        </w:rPr>
        <w:t>万元，</w:t>
      </w:r>
      <w:r>
        <w:rPr>
          <w:rFonts w:hint="eastAsia" w:ascii="TimesNewRoman" w:hAnsi="TimesNewRoman" w:eastAsia="仿宋_GB2312" w:cs="TimesNewRoman"/>
          <w:kern w:val="0"/>
          <w:sz w:val="32"/>
          <w:szCs w:val="32"/>
          <w:lang w:val="en-US" w:eastAsia="zh-CN"/>
        </w:rPr>
        <w:t>增长1.22</w:t>
      </w:r>
      <w:r>
        <w:rPr>
          <w:rFonts w:hint="eastAsia" w:ascii="TimesNewRoman" w:hAnsi="TimesNewRoman" w:eastAsia="仿宋_GB2312" w:cs="TimesNewRoman"/>
          <w:kern w:val="0"/>
          <w:sz w:val="32"/>
          <w:szCs w:val="32"/>
        </w:rPr>
        <w:t>%，原因主要是202</w:t>
      </w: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年</w:t>
      </w:r>
      <w:r>
        <w:rPr>
          <w:rFonts w:hint="eastAsia" w:ascii="TimesNewRoman" w:hAnsi="TimesNewRoman" w:eastAsia="仿宋_GB2312" w:cs="TimesNewRoman"/>
          <w:kern w:val="0"/>
          <w:sz w:val="32"/>
          <w:szCs w:val="32"/>
          <w:lang w:val="en-US" w:eastAsia="zh-CN"/>
        </w:rPr>
        <w:t>项目支出增加</w:t>
      </w:r>
      <w:r>
        <w:rPr>
          <w:rFonts w:hint="eastAsia" w:ascii="TimesNewRoman" w:hAnsi="TimesNewRoman" w:eastAsia="仿宋_GB2312" w:cs="TimesNewRoman"/>
          <w:kern w:val="0"/>
          <w:sz w:val="32"/>
          <w:szCs w:val="32"/>
        </w:rPr>
        <w:t>。</w:t>
      </w:r>
    </w:p>
    <w:p w14:paraId="6A5F9E6A">
      <w:pPr>
        <w:ind w:firstLine="640" w:firstLineChars="200"/>
        <w:rPr>
          <w:rFonts w:hint="eastAsia" w:ascii="仿宋_GB2312" w:hAnsi="仿宋" w:eastAsia="仿宋_GB2312"/>
          <w:color w:val="000000"/>
          <w:sz w:val="32"/>
          <w:szCs w:val="32"/>
        </w:rPr>
      </w:pPr>
      <w:r>
        <w:rPr>
          <w:rFonts w:hint="eastAsia" w:ascii="TimesNewRoman" w:hAnsi="TimesNewRoman" w:eastAsia="仿宋_GB2312" w:cs="TimesNewRoman"/>
          <w:kern w:val="0"/>
          <w:sz w:val="32"/>
          <w:szCs w:val="32"/>
          <w:lang w:val="en-US" w:eastAsia="zh-CN"/>
        </w:rPr>
        <w:t>5</w:t>
      </w:r>
      <w:r>
        <w:rPr>
          <w:rFonts w:hint="eastAsia" w:ascii="TimesNewRoman" w:hAnsi="TimesNewRoman" w:eastAsia="仿宋_GB2312" w:cs="TimesNewRoman"/>
          <w:kern w:val="0"/>
          <w:sz w:val="32"/>
          <w:szCs w:val="32"/>
        </w:rPr>
        <w:t>.一般公共服务支出（类）市场监督管理事务（款）市场主体管理（项）202</w:t>
      </w: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108</w:t>
      </w:r>
      <w:r>
        <w:rPr>
          <w:rFonts w:hint="eastAsia" w:ascii="TimesNewRoman" w:hAnsi="TimesNewRoman" w:eastAsia="仿宋_GB2312" w:cs="TimesNewRoman"/>
          <w:kern w:val="0"/>
          <w:sz w:val="32"/>
          <w:szCs w:val="32"/>
        </w:rPr>
        <w:t>万元，比202</w:t>
      </w: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增加30</w:t>
      </w:r>
      <w:r>
        <w:rPr>
          <w:rFonts w:hint="eastAsia" w:ascii="TimesNewRoman" w:hAnsi="TimesNewRoman" w:eastAsia="仿宋_GB2312" w:cs="TimesNewRoman"/>
          <w:kern w:val="0"/>
          <w:sz w:val="32"/>
          <w:szCs w:val="32"/>
        </w:rPr>
        <w:t>万元，</w:t>
      </w:r>
      <w:r>
        <w:rPr>
          <w:rFonts w:hint="eastAsia" w:ascii="TimesNewRoman" w:hAnsi="TimesNewRoman" w:eastAsia="仿宋_GB2312" w:cs="TimesNewRoman"/>
          <w:kern w:val="0"/>
          <w:sz w:val="32"/>
          <w:szCs w:val="32"/>
          <w:lang w:val="en-US" w:eastAsia="zh-CN"/>
        </w:rPr>
        <w:t>增长38.46</w:t>
      </w:r>
      <w:r>
        <w:rPr>
          <w:rFonts w:hint="eastAsia" w:ascii="TimesNewRoman" w:hAnsi="TimesNewRoman" w:eastAsia="仿宋_GB2312" w:cs="TimesNewRoman"/>
          <w:kern w:val="0"/>
          <w:sz w:val="32"/>
          <w:szCs w:val="32"/>
        </w:rPr>
        <w:t>%，原因主要是</w:t>
      </w:r>
      <w:r>
        <w:rPr>
          <w:rFonts w:hint="eastAsia" w:ascii="TimesNewRoman" w:hAnsi="TimesNewRoman" w:eastAsia="仿宋_GB2312" w:cs="TimesNewRoman"/>
          <w:kern w:val="0"/>
          <w:sz w:val="32"/>
          <w:szCs w:val="32"/>
          <w:lang w:val="en-US" w:eastAsia="zh-CN"/>
        </w:rPr>
        <w:t>2024年增加</w:t>
      </w:r>
      <w:r>
        <w:rPr>
          <w:rFonts w:hint="eastAsia" w:ascii="仿宋_GB2312" w:eastAsia="仿宋_GB2312"/>
          <w:sz w:val="32"/>
          <w:szCs w:val="32"/>
        </w:rPr>
        <w:t>电子营业执照发放及应用项目</w:t>
      </w:r>
      <w:r>
        <w:rPr>
          <w:rFonts w:hint="eastAsia" w:ascii="仿宋_GB2312" w:eastAsia="仿宋_GB2312"/>
          <w:sz w:val="32"/>
          <w:szCs w:val="32"/>
          <w:lang w:val="en-US" w:eastAsia="zh-CN"/>
        </w:rPr>
        <w:t>支出</w:t>
      </w:r>
      <w:r>
        <w:rPr>
          <w:rFonts w:hint="eastAsia" w:ascii="TimesNewRoman" w:hAnsi="TimesNewRoman" w:eastAsia="仿宋_GB2312" w:cs="TimesNewRoman"/>
          <w:kern w:val="0"/>
          <w:sz w:val="32"/>
          <w:szCs w:val="32"/>
        </w:rPr>
        <w:t>。</w:t>
      </w:r>
    </w:p>
    <w:p w14:paraId="5376F3FC">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6</w:t>
      </w:r>
      <w:r>
        <w:rPr>
          <w:rFonts w:hint="eastAsia" w:ascii="TimesNewRoman" w:hAnsi="TimesNewRoman" w:eastAsia="仿宋_GB2312" w:cs="TimesNewRoman"/>
          <w:kern w:val="0"/>
          <w:sz w:val="32"/>
          <w:szCs w:val="32"/>
        </w:rPr>
        <w:t>.一般公共服务支出（类）市场监督管理事务（款）市场秩序执法（项）202</w:t>
      </w: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18</w:t>
      </w:r>
      <w:r>
        <w:rPr>
          <w:rFonts w:hint="eastAsia" w:ascii="TimesNewRoman" w:hAnsi="TimesNewRoman" w:eastAsia="仿宋_GB2312" w:cs="TimesNewRoman"/>
          <w:kern w:val="0"/>
          <w:sz w:val="32"/>
          <w:szCs w:val="32"/>
        </w:rPr>
        <w:t>万元，比202</w:t>
      </w: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减少23</w:t>
      </w:r>
      <w:r>
        <w:rPr>
          <w:rFonts w:hint="eastAsia" w:ascii="TimesNewRoman" w:hAnsi="TimesNewRoman" w:eastAsia="仿宋_GB2312" w:cs="TimesNewRoman"/>
          <w:kern w:val="0"/>
          <w:sz w:val="32"/>
          <w:szCs w:val="32"/>
        </w:rPr>
        <w:t>万元，</w:t>
      </w:r>
      <w:r>
        <w:rPr>
          <w:rFonts w:hint="eastAsia" w:ascii="TimesNewRoman" w:hAnsi="TimesNewRoman" w:eastAsia="仿宋_GB2312" w:cs="TimesNewRoman"/>
          <w:kern w:val="0"/>
          <w:sz w:val="32"/>
          <w:szCs w:val="32"/>
          <w:lang w:val="en-US" w:eastAsia="zh-CN"/>
        </w:rPr>
        <w:t>下降56.10</w:t>
      </w:r>
      <w:r>
        <w:rPr>
          <w:rFonts w:hint="eastAsia" w:ascii="TimesNewRoman" w:hAnsi="TimesNewRoman" w:eastAsia="仿宋_GB2312" w:cs="TimesNewRoman"/>
          <w:kern w:val="0"/>
          <w:sz w:val="32"/>
          <w:szCs w:val="32"/>
        </w:rPr>
        <w:t>%，原因主要是执法项目经费</w:t>
      </w:r>
      <w:r>
        <w:rPr>
          <w:rFonts w:hint="eastAsia" w:ascii="TimesNewRoman" w:hAnsi="TimesNewRoman" w:eastAsia="仿宋_GB2312" w:cs="TimesNewRoman"/>
          <w:kern w:val="0"/>
          <w:sz w:val="32"/>
          <w:szCs w:val="32"/>
          <w:lang w:val="en-US" w:eastAsia="zh-CN"/>
        </w:rPr>
        <w:t>预算减少</w:t>
      </w:r>
      <w:r>
        <w:rPr>
          <w:rFonts w:hint="eastAsia" w:ascii="TimesNewRoman" w:hAnsi="TimesNewRoman" w:eastAsia="仿宋_GB2312" w:cs="TimesNewRoman"/>
          <w:kern w:val="0"/>
          <w:sz w:val="32"/>
          <w:szCs w:val="32"/>
        </w:rPr>
        <w:t>。</w:t>
      </w:r>
    </w:p>
    <w:p w14:paraId="46206415">
      <w:pPr>
        <w:keepNext w:val="0"/>
        <w:keepLines w:val="0"/>
        <w:pageBreakBefore w:val="0"/>
        <w:kinsoku/>
        <w:wordWrap/>
        <w:overflowPunct/>
        <w:autoSpaceDE/>
        <w:autoSpaceDN/>
        <w:bidi w:val="0"/>
        <w:adjustRightInd w:val="0"/>
        <w:snapToGrid w:val="0"/>
        <w:spacing w:beforeAutospacing="0" w:afterAutospacing="0" w:line="520" w:lineRule="exact"/>
        <w:ind w:firstLine="640" w:firstLineChars="200"/>
        <w:textAlignment w:val="auto"/>
        <w:rPr>
          <w:rFonts w:ascii="仿宋_GB2312" w:hAnsi="仿宋" w:eastAsia="仿宋_GB2312"/>
          <w:color w:val="000000"/>
          <w:sz w:val="32"/>
          <w:szCs w:val="32"/>
        </w:rPr>
      </w:pPr>
      <w:r>
        <w:rPr>
          <w:rFonts w:hint="eastAsia" w:ascii="TimesNewRoman" w:hAnsi="TimesNewRoman" w:eastAsia="仿宋_GB2312" w:cs="TimesNewRoman"/>
          <w:kern w:val="0"/>
          <w:sz w:val="32"/>
          <w:szCs w:val="32"/>
          <w:lang w:val="en-US" w:eastAsia="zh-CN"/>
        </w:rPr>
        <w:t>7</w:t>
      </w:r>
      <w:r>
        <w:rPr>
          <w:rFonts w:hint="eastAsia" w:ascii="TimesNewRoman" w:hAnsi="TimesNewRoman" w:eastAsia="仿宋_GB2312" w:cs="TimesNewRoman"/>
          <w:kern w:val="0"/>
          <w:sz w:val="32"/>
          <w:szCs w:val="32"/>
        </w:rPr>
        <w:t>.一般公共服务支出（类）市场监督管理事务（款）信息化建设（项）202</w:t>
      </w: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年预算</w:t>
      </w:r>
      <w:r>
        <w:rPr>
          <w:rFonts w:hint="eastAsia" w:ascii="TimesNewRoman" w:hAnsi="TimesNewRoman" w:eastAsia="仿宋_GB2312" w:cs="TimesNewRoman"/>
          <w:kern w:val="0"/>
          <w:sz w:val="32"/>
          <w:szCs w:val="32"/>
          <w:lang w:val="en-US" w:eastAsia="zh-CN"/>
        </w:rPr>
        <w:t>88</w:t>
      </w:r>
      <w:r>
        <w:rPr>
          <w:rFonts w:hint="eastAsia" w:ascii="TimesNewRoman" w:hAnsi="TimesNewRoman" w:eastAsia="仿宋_GB2312" w:cs="TimesNewRoman"/>
          <w:kern w:val="0"/>
          <w:sz w:val="32"/>
          <w:szCs w:val="32"/>
        </w:rPr>
        <w:t>万元，比202</w:t>
      </w: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年预算增加</w:t>
      </w:r>
      <w:r>
        <w:rPr>
          <w:rFonts w:hint="eastAsia" w:ascii="TimesNewRoman" w:hAnsi="TimesNewRoman" w:eastAsia="仿宋_GB2312" w:cs="TimesNewRoman"/>
          <w:kern w:val="0"/>
          <w:sz w:val="32"/>
          <w:szCs w:val="32"/>
          <w:lang w:val="en-US" w:eastAsia="zh-CN"/>
        </w:rPr>
        <w:t>8</w:t>
      </w:r>
      <w:r>
        <w:rPr>
          <w:rFonts w:hint="eastAsia" w:ascii="TimesNewRoman" w:hAnsi="TimesNewRoman" w:eastAsia="仿宋_GB2312" w:cs="TimesNewRoman"/>
          <w:kern w:val="0"/>
          <w:sz w:val="32"/>
          <w:szCs w:val="32"/>
        </w:rPr>
        <w:t>万元，</w:t>
      </w:r>
      <w:r>
        <w:rPr>
          <w:rFonts w:hint="eastAsia" w:ascii="TimesNewRoman" w:hAnsi="TimesNewRoman" w:eastAsia="仿宋_GB2312" w:cs="TimesNewRoman"/>
          <w:kern w:val="0"/>
          <w:sz w:val="32"/>
          <w:szCs w:val="32"/>
          <w:lang w:val="en-US" w:eastAsia="zh-CN"/>
        </w:rPr>
        <w:t>增长10</w:t>
      </w: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rPr>
        <w:t>原因主要是</w:t>
      </w:r>
      <w:r>
        <w:rPr>
          <w:rFonts w:hint="eastAsia" w:ascii="TimesNewRoman" w:hAnsi="TimesNewRoman" w:eastAsia="仿宋_GB2312" w:cs="TimesNewRoman"/>
          <w:kern w:val="0"/>
          <w:sz w:val="32"/>
          <w:szCs w:val="32"/>
          <w:lang w:val="en-US" w:eastAsia="zh-CN"/>
        </w:rPr>
        <w:t>增加企业登记注册掌上办、电子印章服务费等支出</w:t>
      </w:r>
      <w:r>
        <w:rPr>
          <w:rFonts w:hint="eastAsia" w:ascii="TimesNewRoman" w:hAnsi="TimesNewRoman" w:eastAsia="仿宋_GB2312" w:cs="TimesNewRoman"/>
          <w:kern w:val="0"/>
          <w:sz w:val="32"/>
          <w:szCs w:val="32"/>
        </w:rPr>
        <w:t>。</w:t>
      </w:r>
    </w:p>
    <w:p w14:paraId="5F91E864">
      <w:pPr>
        <w:pStyle w:val="9"/>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8.一般公共服务支出（类）市场监督管理事务（款）质量基础（项）202</w:t>
      </w:r>
      <w:r>
        <w:rPr>
          <w:rFonts w:hint="eastAsia" w:ascii="TimesNewRoman" w:hAnsi="TimesNewRoman" w:cs="TimesNewRoman"/>
          <w:color w:val="auto"/>
          <w:kern w:val="0"/>
          <w:sz w:val="32"/>
          <w:szCs w:val="32"/>
          <w:lang w:val="en-US" w:eastAsia="zh-CN" w:bidi="ar-SA"/>
        </w:rPr>
        <w:t>4</w:t>
      </w:r>
      <w:r>
        <w:rPr>
          <w:rFonts w:hint="eastAsia" w:ascii="TimesNewRoman" w:hAnsi="TimesNewRoman" w:eastAsia="仿宋_GB2312" w:cs="TimesNewRoman"/>
          <w:color w:val="auto"/>
          <w:kern w:val="0"/>
          <w:sz w:val="32"/>
          <w:szCs w:val="32"/>
          <w:lang w:val="en-US" w:eastAsia="zh-CN" w:bidi="ar-SA"/>
        </w:rPr>
        <w:t>年预算</w:t>
      </w:r>
      <w:r>
        <w:rPr>
          <w:rFonts w:hint="eastAsia" w:ascii="TimesNewRoman" w:hAnsi="TimesNewRoman" w:cs="TimesNewRoman"/>
          <w:color w:val="auto"/>
          <w:kern w:val="0"/>
          <w:sz w:val="32"/>
          <w:szCs w:val="32"/>
          <w:lang w:val="en-US" w:eastAsia="zh-CN" w:bidi="ar-SA"/>
        </w:rPr>
        <w:t>3</w:t>
      </w:r>
      <w:r>
        <w:rPr>
          <w:rFonts w:hint="eastAsia" w:ascii="TimesNewRoman" w:hAnsi="TimesNewRoman" w:eastAsia="仿宋_GB2312" w:cs="TimesNewRoman"/>
          <w:color w:val="auto"/>
          <w:kern w:val="0"/>
          <w:sz w:val="32"/>
          <w:szCs w:val="32"/>
          <w:lang w:val="en-US" w:eastAsia="zh-CN" w:bidi="ar-SA"/>
        </w:rPr>
        <w:t>万元，</w:t>
      </w:r>
      <w:r>
        <w:rPr>
          <w:rFonts w:hint="eastAsia" w:ascii="TimesNewRoman" w:hAnsi="TimesNewRoman" w:eastAsia="仿宋_GB2312" w:cs="TimesNewRoman"/>
          <w:kern w:val="0"/>
          <w:sz w:val="32"/>
          <w:szCs w:val="32"/>
        </w:rPr>
        <w:t>比202</w:t>
      </w: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年预算</w:t>
      </w:r>
      <w:r>
        <w:rPr>
          <w:rFonts w:hint="eastAsia" w:ascii="TimesNewRoman" w:hAnsi="TimesNewRoman" w:cs="TimesNewRoman"/>
          <w:kern w:val="0"/>
          <w:sz w:val="32"/>
          <w:szCs w:val="32"/>
          <w:lang w:val="en-US" w:eastAsia="zh-CN"/>
        </w:rPr>
        <w:t>减少7</w:t>
      </w:r>
      <w:r>
        <w:rPr>
          <w:rFonts w:hint="eastAsia" w:ascii="TimesNewRoman" w:hAnsi="TimesNewRoman" w:eastAsia="仿宋_GB2312" w:cs="TimesNewRoman"/>
          <w:kern w:val="0"/>
          <w:sz w:val="32"/>
          <w:szCs w:val="32"/>
        </w:rPr>
        <w:t>万元，</w:t>
      </w:r>
      <w:r>
        <w:rPr>
          <w:rFonts w:hint="eastAsia" w:ascii="仿宋_GB2312" w:hAnsi="仿宋"/>
          <w:color w:val="000000"/>
          <w:sz w:val="32"/>
          <w:szCs w:val="32"/>
          <w:lang w:val="en-US" w:eastAsia="zh-CN"/>
        </w:rPr>
        <w:t>下降</w:t>
      </w:r>
      <w:r>
        <w:rPr>
          <w:rFonts w:hint="eastAsia" w:ascii="TimesNewRoman" w:hAnsi="TimesNewRoman" w:cs="TimesNewRoman"/>
          <w:kern w:val="0"/>
          <w:sz w:val="32"/>
          <w:szCs w:val="32"/>
          <w:lang w:val="en-US" w:eastAsia="zh-CN"/>
        </w:rPr>
        <w:t>70</w:t>
      </w: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rPr>
        <w:t>原因主要是</w:t>
      </w:r>
      <w:r>
        <w:rPr>
          <w:rFonts w:hint="eastAsia" w:ascii="TimesNewRoman" w:hAnsi="TimesNewRoman" w:cs="TimesNewRoman"/>
          <w:kern w:val="0"/>
          <w:sz w:val="32"/>
          <w:szCs w:val="32"/>
          <w:lang w:val="en-US" w:eastAsia="zh-CN"/>
        </w:rPr>
        <w:t>产品质量监管基本支出减少</w:t>
      </w:r>
      <w:r>
        <w:rPr>
          <w:rFonts w:hint="eastAsia" w:ascii="TimesNewRoman" w:hAnsi="TimesNewRoman" w:eastAsia="仿宋_GB2312" w:cs="TimesNewRoman"/>
          <w:color w:val="auto"/>
          <w:kern w:val="0"/>
          <w:sz w:val="32"/>
          <w:szCs w:val="32"/>
          <w:lang w:val="en-US" w:eastAsia="zh-CN" w:bidi="ar-SA"/>
        </w:rPr>
        <w:t>。</w:t>
      </w:r>
    </w:p>
    <w:p w14:paraId="554E440A">
      <w:pPr>
        <w:pStyle w:val="9"/>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9.一般公共服务支出（类）市场监督管理事务（款）药品事务（项）202</w:t>
      </w:r>
      <w:r>
        <w:rPr>
          <w:rFonts w:hint="eastAsia" w:ascii="TimesNewRoman" w:hAnsi="TimesNewRoman" w:cs="TimesNewRoman"/>
          <w:color w:val="auto"/>
          <w:kern w:val="0"/>
          <w:sz w:val="32"/>
          <w:szCs w:val="32"/>
          <w:lang w:val="en-US" w:eastAsia="zh-CN" w:bidi="ar-SA"/>
        </w:rPr>
        <w:t>4</w:t>
      </w:r>
      <w:r>
        <w:rPr>
          <w:rFonts w:hint="eastAsia" w:ascii="TimesNewRoman" w:hAnsi="TimesNewRoman" w:eastAsia="仿宋_GB2312" w:cs="TimesNewRoman"/>
          <w:color w:val="auto"/>
          <w:kern w:val="0"/>
          <w:sz w:val="32"/>
          <w:szCs w:val="32"/>
          <w:lang w:val="en-US" w:eastAsia="zh-CN" w:bidi="ar-SA"/>
        </w:rPr>
        <w:t>年预算2万元，</w:t>
      </w:r>
      <w:r>
        <w:rPr>
          <w:rFonts w:hint="eastAsia" w:ascii="TimesNewRoman" w:hAnsi="TimesNewRoman" w:cs="TimesNewRoman"/>
          <w:color w:val="auto"/>
          <w:kern w:val="0"/>
          <w:sz w:val="32"/>
          <w:szCs w:val="32"/>
          <w:lang w:val="en-US" w:eastAsia="zh-CN" w:bidi="ar-SA"/>
        </w:rPr>
        <w:t>比</w:t>
      </w:r>
      <w:r>
        <w:rPr>
          <w:rFonts w:hint="eastAsia" w:ascii="TimesNewRoman" w:hAnsi="TimesNewRoman" w:eastAsia="仿宋_GB2312" w:cs="TimesNewRoman"/>
          <w:color w:val="auto"/>
          <w:kern w:val="0"/>
          <w:sz w:val="32"/>
          <w:szCs w:val="32"/>
          <w:lang w:val="en-US" w:eastAsia="zh-CN" w:bidi="ar-SA"/>
        </w:rPr>
        <w:t>202</w:t>
      </w:r>
      <w:r>
        <w:rPr>
          <w:rFonts w:hint="eastAsia" w:ascii="TimesNewRoman" w:hAnsi="TimesNewRoman" w:cs="TimesNewRoman"/>
          <w:color w:val="auto"/>
          <w:kern w:val="0"/>
          <w:sz w:val="32"/>
          <w:szCs w:val="32"/>
          <w:lang w:val="en-US" w:eastAsia="zh-CN" w:bidi="ar-SA"/>
        </w:rPr>
        <w:t>3</w:t>
      </w:r>
      <w:r>
        <w:rPr>
          <w:rFonts w:hint="eastAsia" w:ascii="TimesNewRoman" w:hAnsi="TimesNewRoman" w:eastAsia="仿宋_GB2312" w:cs="TimesNewRoman"/>
          <w:color w:val="auto"/>
          <w:kern w:val="0"/>
          <w:sz w:val="32"/>
          <w:szCs w:val="32"/>
          <w:lang w:val="en-US" w:eastAsia="zh-CN" w:bidi="ar-SA"/>
        </w:rPr>
        <w:t>年预算</w:t>
      </w:r>
      <w:r>
        <w:rPr>
          <w:rFonts w:hint="eastAsia" w:ascii="TimesNewRoman" w:hAnsi="TimesNewRoman" w:cs="TimesNewRoman"/>
          <w:color w:val="auto"/>
          <w:kern w:val="0"/>
          <w:sz w:val="32"/>
          <w:szCs w:val="32"/>
          <w:lang w:val="en-US" w:eastAsia="zh-CN" w:bidi="ar-SA"/>
        </w:rPr>
        <w:t>增加0万元，增长0%</w:t>
      </w:r>
      <w:r>
        <w:rPr>
          <w:rFonts w:hint="eastAsia" w:ascii="TimesNewRoman" w:hAnsi="TimesNewRoman" w:eastAsia="仿宋_GB2312" w:cs="TimesNewRoman"/>
          <w:color w:val="auto"/>
          <w:kern w:val="0"/>
          <w:sz w:val="32"/>
          <w:szCs w:val="32"/>
          <w:lang w:val="en-US" w:eastAsia="zh-CN" w:bidi="ar-SA"/>
        </w:rPr>
        <w:t>。</w:t>
      </w:r>
    </w:p>
    <w:p w14:paraId="3DCF75AF">
      <w:pPr>
        <w:pStyle w:val="9"/>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10.一般公共服务支出（类）市场监督管理事务（款）质量安全监管（项）202</w:t>
      </w:r>
      <w:r>
        <w:rPr>
          <w:rFonts w:hint="eastAsia" w:ascii="TimesNewRoman" w:hAnsi="TimesNewRoman" w:cs="TimesNewRoman"/>
          <w:color w:val="auto"/>
          <w:kern w:val="0"/>
          <w:sz w:val="32"/>
          <w:szCs w:val="32"/>
          <w:lang w:val="en-US" w:eastAsia="zh-CN" w:bidi="ar-SA"/>
        </w:rPr>
        <w:t>4</w:t>
      </w:r>
      <w:r>
        <w:rPr>
          <w:rFonts w:hint="eastAsia" w:ascii="TimesNewRoman" w:hAnsi="TimesNewRoman" w:eastAsia="仿宋_GB2312" w:cs="TimesNewRoman"/>
          <w:color w:val="auto"/>
          <w:kern w:val="0"/>
          <w:sz w:val="32"/>
          <w:szCs w:val="32"/>
          <w:lang w:val="en-US" w:eastAsia="zh-CN" w:bidi="ar-SA"/>
        </w:rPr>
        <w:t>年预算</w:t>
      </w:r>
      <w:r>
        <w:rPr>
          <w:rFonts w:hint="eastAsia" w:ascii="TimesNewRoman" w:hAnsi="TimesNewRoman" w:cs="TimesNewRoman"/>
          <w:color w:val="auto"/>
          <w:kern w:val="0"/>
          <w:sz w:val="32"/>
          <w:szCs w:val="32"/>
          <w:lang w:val="en-US" w:eastAsia="zh-CN" w:bidi="ar-SA"/>
        </w:rPr>
        <w:t>32</w:t>
      </w:r>
      <w:r>
        <w:rPr>
          <w:rFonts w:hint="eastAsia" w:ascii="TimesNewRoman" w:hAnsi="TimesNewRoman" w:eastAsia="仿宋_GB2312" w:cs="TimesNewRoman"/>
          <w:color w:val="auto"/>
          <w:kern w:val="0"/>
          <w:sz w:val="32"/>
          <w:szCs w:val="32"/>
          <w:lang w:val="en-US" w:eastAsia="zh-CN" w:bidi="ar-SA"/>
        </w:rPr>
        <w:t>万元，</w:t>
      </w:r>
      <w:r>
        <w:rPr>
          <w:rFonts w:hint="eastAsia" w:ascii="TimesNewRoman" w:hAnsi="TimesNewRoman" w:eastAsia="仿宋_GB2312" w:cs="TimesNewRoman"/>
          <w:kern w:val="0"/>
          <w:sz w:val="32"/>
          <w:szCs w:val="32"/>
        </w:rPr>
        <w:t>比202</w:t>
      </w: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年预算增加</w:t>
      </w:r>
      <w:r>
        <w:rPr>
          <w:rFonts w:hint="eastAsia" w:ascii="TimesNewRoman" w:hAnsi="TimesNewRoman" w:cs="TimesNewRoman"/>
          <w:kern w:val="0"/>
          <w:sz w:val="32"/>
          <w:szCs w:val="32"/>
          <w:lang w:val="en-US" w:eastAsia="zh-CN"/>
        </w:rPr>
        <w:t>7</w:t>
      </w:r>
      <w:r>
        <w:rPr>
          <w:rFonts w:hint="eastAsia" w:ascii="TimesNewRoman" w:hAnsi="TimesNewRoman" w:eastAsia="仿宋_GB2312" w:cs="TimesNewRoman"/>
          <w:kern w:val="0"/>
          <w:sz w:val="32"/>
          <w:szCs w:val="32"/>
        </w:rPr>
        <w:t>万元，</w:t>
      </w:r>
      <w:r>
        <w:rPr>
          <w:rFonts w:hint="eastAsia" w:ascii="TimesNewRoman" w:hAnsi="TimesNewRoman" w:eastAsia="仿宋_GB2312" w:cs="TimesNewRoman"/>
          <w:kern w:val="0"/>
          <w:sz w:val="32"/>
          <w:szCs w:val="32"/>
          <w:lang w:val="en-US" w:eastAsia="zh-CN"/>
        </w:rPr>
        <w:t>增长</w:t>
      </w:r>
      <w:r>
        <w:rPr>
          <w:rFonts w:hint="eastAsia" w:ascii="TimesNewRoman" w:hAnsi="TimesNewRoman" w:cs="TimesNewRoman"/>
          <w:kern w:val="0"/>
          <w:sz w:val="32"/>
          <w:szCs w:val="32"/>
          <w:lang w:val="en-US" w:eastAsia="zh-CN"/>
        </w:rPr>
        <w:t>28</w:t>
      </w: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rPr>
        <w:t>原因主要是</w:t>
      </w:r>
      <w:r>
        <w:rPr>
          <w:rFonts w:hint="eastAsia" w:ascii="TimesNewRoman" w:hAnsi="TimesNewRoman" w:cs="TimesNewRoman"/>
          <w:kern w:val="0"/>
          <w:sz w:val="32"/>
          <w:szCs w:val="32"/>
          <w:lang w:val="en-US" w:eastAsia="zh-CN"/>
        </w:rPr>
        <w:t>产品质量抽检支出增加</w:t>
      </w:r>
      <w:r>
        <w:rPr>
          <w:rFonts w:hint="eastAsia" w:ascii="TimesNewRoman" w:hAnsi="TimesNewRoman" w:eastAsia="仿宋_GB2312" w:cs="TimesNewRoman"/>
          <w:color w:val="auto"/>
          <w:kern w:val="0"/>
          <w:sz w:val="32"/>
          <w:szCs w:val="32"/>
          <w:lang w:val="en-US" w:eastAsia="zh-CN" w:bidi="ar-SA"/>
        </w:rPr>
        <w:t>。</w:t>
      </w:r>
    </w:p>
    <w:p w14:paraId="06675218">
      <w:pPr>
        <w:keepNext w:val="0"/>
        <w:keepLines w:val="0"/>
        <w:pageBreakBefore w:val="0"/>
        <w:kinsoku/>
        <w:wordWrap/>
        <w:overflowPunct/>
        <w:autoSpaceDE/>
        <w:autoSpaceDN/>
        <w:bidi w:val="0"/>
        <w:adjustRightInd w:val="0"/>
        <w:snapToGrid w:val="0"/>
        <w:spacing w:beforeAutospacing="0" w:afterAutospacing="0" w:line="520" w:lineRule="exact"/>
        <w:ind w:firstLine="640" w:firstLineChars="200"/>
        <w:textAlignment w:val="auto"/>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11.一般公共服务支出（类）市场监督管理事务（款）食品安全监管（项）2024年预算212.03万元，比2023年预算增加73.60万元，增长53.17%，原因主要是增加食品抽检项目预算。</w:t>
      </w:r>
    </w:p>
    <w:p w14:paraId="76B15C52">
      <w:pPr>
        <w:pStyle w:val="9"/>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12.一般公共服务支出（类）市场监督管理事务（款）事业运行（项）202</w:t>
      </w:r>
      <w:r>
        <w:rPr>
          <w:rFonts w:hint="eastAsia" w:ascii="TimesNewRoman" w:hAnsi="TimesNewRoman" w:cs="TimesNewRoman"/>
          <w:color w:val="auto"/>
          <w:kern w:val="0"/>
          <w:sz w:val="32"/>
          <w:szCs w:val="32"/>
          <w:lang w:val="en-US" w:eastAsia="zh-CN" w:bidi="ar-SA"/>
        </w:rPr>
        <w:t>4</w:t>
      </w:r>
      <w:r>
        <w:rPr>
          <w:rFonts w:hint="eastAsia" w:ascii="TimesNewRoman" w:hAnsi="TimesNewRoman" w:eastAsia="仿宋_GB2312" w:cs="TimesNewRoman"/>
          <w:color w:val="auto"/>
          <w:kern w:val="0"/>
          <w:sz w:val="32"/>
          <w:szCs w:val="32"/>
          <w:lang w:val="en-US" w:eastAsia="zh-CN" w:bidi="ar-SA"/>
        </w:rPr>
        <w:t>年预算</w:t>
      </w:r>
      <w:r>
        <w:rPr>
          <w:rFonts w:hint="eastAsia" w:ascii="TimesNewRoman" w:hAnsi="TimesNewRoman" w:cs="TimesNewRoman"/>
          <w:color w:val="auto"/>
          <w:kern w:val="0"/>
          <w:sz w:val="32"/>
          <w:szCs w:val="32"/>
          <w:lang w:val="en-US" w:eastAsia="zh-CN" w:bidi="ar-SA"/>
        </w:rPr>
        <w:t>2894.45</w:t>
      </w:r>
      <w:r>
        <w:rPr>
          <w:rFonts w:hint="eastAsia" w:ascii="TimesNewRoman" w:hAnsi="TimesNewRoman" w:eastAsia="仿宋_GB2312" w:cs="TimesNewRoman"/>
          <w:color w:val="auto"/>
          <w:kern w:val="0"/>
          <w:sz w:val="32"/>
          <w:szCs w:val="32"/>
          <w:lang w:val="en-US" w:eastAsia="zh-CN" w:bidi="ar-SA"/>
        </w:rPr>
        <w:t>万元，比202</w:t>
      </w:r>
      <w:r>
        <w:rPr>
          <w:rFonts w:hint="eastAsia" w:ascii="TimesNewRoman" w:hAnsi="TimesNewRoman" w:cs="TimesNewRoman"/>
          <w:color w:val="auto"/>
          <w:kern w:val="0"/>
          <w:sz w:val="32"/>
          <w:szCs w:val="32"/>
          <w:lang w:val="en-US" w:eastAsia="zh-CN" w:bidi="ar-SA"/>
        </w:rPr>
        <w:t>3</w:t>
      </w:r>
      <w:r>
        <w:rPr>
          <w:rFonts w:hint="eastAsia" w:ascii="TimesNewRoman" w:hAnsi="TimesNewRoman" w:eastAsia="仿宋_GB2312" w:cs="TimesNewRoman"/>
          <w:color w:val="auto"/>
          <w:kern w:val="0"/>
          <w:sz w:val="32"/>
          <w:szCs w:val="32"/>
          <w:lang w:val="en-US" w:eastAsia="zh-CN" w:bidi="ar-SA"/>
        </w:rPr>
        <w:t>年预算</w:t>
      </w:r>
      <w:r>
        <w:rPr>
          <w:rFonts w:hint="eastAsia" w:ascii="TimesNewRoman" w:hAnsi="TimesNewRoman" w:cs="TimesNewRoman"/>
          <w:color w:val="auto"/>
          <w:kern w:val="0"/>
          <w:sz w:val="32"/>
          <w:szCs w:val="32"/>
          <w:lang w:val="en-US" w:eastAsia="zh-CN" w:bidi="ar-SA"/>
        </w:rPr>
        <w:t>减少396.67</w:t>
      </w:r>
      <w:r>
        <w:rPr>
          <w:rFonts w:hint="eastAsia" w:ascii="TimesNewRoman" w:hAnsi="TimesNewRoman" w:eastAsia="仿宋_GB2312" w:cs="TimesNewRoman"/>
          <w:color w:val="auto"/>
          <w:kern w:val="0"/>
          <w:sz w:val="32"/>
          <w:szCs w:val="32"/>
          <w:lang w:val="en-US" w:eastAsia="zh-CN" w:bidi="ar-SA"/>
        </w:rPr>
        <w:t>万元，</w:t>
      </w:r>
      <w:r>
        <w:rPr>
          <w:rFonts w:hint="eastAsia" w:ascii="TimesNewRoman" w:hAnsi="TimesNewRoman" w:cs="TimesNewRoman"/>
          <w:color w:val="auto"/>
          <w:kern w:val="0"/>
          <w:sz w:val="32"/>
          <w:szCs w:val="32"/>
          <w:lang w:val="en-US" w:eastAsia="zh-CN" w:bidi="ar-SA"/>
        </w:rPr>
        <w:t>下降12.05</w:t>
      </w:r>
      <w:r>
        <w:rPr>
          <w:rFonts w:hint="eastAsia" w:ascii="TimesNewRoman" w:hAnsi="TimesNewRoman" w:eastAsia="仿宋_GB2312" w:cs="TimesNewRoman"/>
          <w:color w:val="auto"/>
          <w:kern w:val="0"/>
          <w:sz w:val="32"/>
          <w:szCs w:val="32"/>
          <w:lang w:val="en-US" w:eastAsia="zh-CN" w:bidi="ar-SA"/>
        </w:rPr>
        <w:t>%，原因主要是</w:t>
      </w:r>
      <w:r>
        <w:rPr>
          <w:rFonts w:hint="eastAsia" w:ascii="TimesNewRoman" w:hAnsi="TimesNewRoman" w:cs="TimesNewRoman"/>
          <w:kern w:val="0"/>
          <w:sz w:val="32"/>
          <w:szCs w:val="32"/>
          <w:lang w:val="en-US" w:eastAsia="zh-CN"/>
        </w:rPr>
        <w:t>事业在职</w:t>
      </w:r>
      <w:r>
        <w:rPr>
          <w:rFonts w:hint="eastAsia" w:ascii="TimesNewRoman" w:hAnsi="TimesNewRoman" w:eastAsia="仿宋_GB2312" w:cs="TimesNewRoman"/>
          <w:kern w:val="0"/>
          <w:sz w:val="32"/>
          <w:szCs w:val="32"/>
          <w:lang w:val="en-US" w:eastAsia="zh-CN"/>
        </w:rPr>
        <w:t>人员减少，相</w:t>
      </w:r>
      <w:r>
        <w:rPr>
          <w:rFonts w:hint="eastAsia" w:ascii="TimesNewRoman" w:hAnsi="TimesNewRoman" w:cs="TimesNewRoman"/>
          <w:kern w:val="0"/>
          <w:sz w:val="32"/>
          <w:szCs w:val="32"/>
          <w:lang w:val="en-US" w:eastAsia="zh-CN"/>
        </w:rPr>
        <w:t>应</w:t>
      </w:r>
      <w:r>
        <w:rPr>
          <w:rFonts w:hint="eastAsia" w:ascii="TimesNewRoman" w:hAnsi="TimesNewRoman" w:eastAsia="仿宋_GB2312" w:cs="TimesNewRoman"/>
          <w:kern w:val="0"/>
          <w:sz w:val="32"/>
          <w:szCs w:val="32"/>
          <w:lang w:val="en-US" w:eastAsia="zh-CN"/>
        </w:rPr>
        <w:t>工资、津补贴等支出下降</w:t>
      </w:r>
      <w:r>
        <w:rPr>
          <w:rFonts w:hint="eastAsia" w:ascii="TimesNewRoman" w:hAnsi="TimesNewRoman" w:eastAsia="仿宋_GB2312" w:cs="TimesNewRoman"/>
          <w:kern w:val="0"/>
          <w:sz w:val="32"/>
          <w:szCs w:val="32"/>
        </w:rPr>
        <w:t>。</w:t>
      </w:r>
    </w:p>
    <w:p w14:paraId="2AA6F049">
      <w:pPr>
        <w:pStyle w:val="9"/>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13.一般公共服务支出（类）市场监督管理事务（款）其他市场监督管理事务（项）202</w:t>
      </w:r>
      <w:r>
        <w:rPr>
          <w:rFonts w:hint="eastAsia" w:ascii="TimesNewRoman" w:hAnsi="TimesNewRoman" w:cs="TimesNewRoman"/>
          <w:color w:val="auto"/>
          <w:kern w:val="0"/>
          <w:sz w:val="32"/>
          <w:szCs w:val="32"/>
          <w:lang w:val="en-US" w:eastAsia="zh-CN" w:bidi="ar-SA"/>
        </w:rPr>
        <w:t>4</w:t>
      </w:r>
      <w:r>
        <w:rPr>
          <w:rFonts w:hint="eastAsia" w:ascii="TimesNewRoman" w:hAnsi="TimesNewRoman" w:eastAsia="仿宋_GB2312" w:cs="TimesNewRoman"/>
          <w:color w:val="auto"/>
          <w:kern w:val="0"/>
          <w:sz w:val="32"/>
          <w:szCs w:val="32"/>
          <w:lang w:val="en-US" w:eastAsia="zh-CN" w:bidi="ar-SA"/>
        </w:rPr>
        <w:t>年预算</w:t>
      </w:r>
      <w:r>
        <w:rPr>
          <w:rFonts w:hint="eastAsia" w:ascii="TimesNewRoman" w:hAnsi="TimesNewRoman" w:cs="TimesNewRoman"/>
          <w:color w:val="auto"/>
          <w:kern w:val="0"/>
          <w:sz w:val="32"/>
          <w:szCs w:val="32"/>
          <w:lang w:val="en-US" w:eastAsia="zh-CN" w:bidi="ar-SA"/>
        </w:rPr>
        <w:t>55</w:t>
      </w:r>
      <w:r>
        <w:rPr>
          <w:rFonts w:hint="eastAsia" w:ascii="TimesNewRoman" w:hAnsi="TimesNewRoman" w:eastAsia="仿宋_GB2312" w:cs="TimesNewRoman"/>
          <w:color w:val="auto"/>
          <w:kern w:val="0"/>
          <w:sz w:val="32"/>
          <w:szCs w:val="32"/>
          <w:lang w:val="en-US" w:eastAsia="zh-CN" w:bidi="ar-SA"/>
        </w:rPr>
        <w:t>万元，比202</w:t>
      </w:r>
      <w:r>
        <w:rPr>
          <w:rFonts w:hint="eastAsia" w:ascii="TimesNewRoman" w:hAnsi="TimesNewRoman" w:cs="TimesNewRoman"/>
          <w:color w:val="auto"/>
          <w:kern w:val="0"/>
          <w:sz w:val="32"/>
          <w:szCs w:val="32"/>
          <w:lang w:val="en-US" w:eastAsia="zh-CN" w:bidi="ar-SA"/>
        </w:rPr>
        <w:t>3</w:t>
      </w:r>
      <w:r>
        <w:rPr>
          <w:rFonts w:hint="eastAsia" w:ascii="TimesNewRoman" w:hAnsi="TimesNewRoman" w:eastAsia="仿宋_GB2312" w:cs="TimesNewRoman"/>
          <w:color w:val="auto"/>
          <w:kern w:val="0"/>
          <w:sz w:val="32"/>
          <w:szCs w:val="32"/>
          <w:lang w:val="en-US" w:eastAsia="zh-CN" w:bidi="ar-SA"/>
        </w:rPr>
        <w:t>年</w:t>
      </w:r>
      <w:r>
        <w:rPr>
          <w:rFonts w:hint="eastAsia" w:ascii="TimesNewRoman" w:hAnsi="TimesNewRoman" w:cs="TimesNewRoman"/>
          <w:color w:val="auto"/>
          <w:kern w:val="0"/>
          <w:sz w:val="32"/>
          <w:szCs w:val="32"/>
          <w:lang w:val="en-US" w:eastAsia="zh-CN" w:bidi="ar-SA"/>
        </w:rPr>
        <w:t>增加38</w:t>
      </w:r>
      <w:r>
        <w:rPr>
          <w:rFonts w:hint="eastAsia" w:ascii="TimesNewRoman" w:hAnsi="TimesNewRoman" w:eastAsia="仿宋_GB2312" w:cs="TimesNewRoman"/>
          <w:color w:val="auto"/>
          <w:kern w:val="0"/>
          <w:sz w:val="32"/>
          <w:szCs w:val="32"/>
          <w:lang w:val="en-US" w:eastAsia="zh-CN" w:bidi="ar-SA"/>
        </w:rPr>
        <w:t>万元，</w:t>
      </w:r>
      <w:r>
        <w:rPr>
          <w:rFonts w:hint="eastAsia" w:ascii="TimesNewRoman" w:hAnsi="TimesNewRoman" w:cs="TimesNewRoman"/>
          <w:color w:val="auto"/>
          <w:kern w:val="0"/>
          <w:sz w:val="32"/>
          <w:szCs w:val="32"/>
          <w:lang w:val="en-US" w:eastAsia="zh-CN" w:bidi="ar-SA"/>
        </w:rPr>
        <w:t>增长223.53</w:t>
      </w:r>
      <w:r>
        <w:rPr>
          <w:rFonts w:hint="eastAsia" w:ascii="TimesNewRoman" w:hAnsi="TimesNewRoman" w:eastAsia="仿宋_GB2312" w:cs="TimesNewRoman"/>
          <w:color w:val="auto"/>
          <w:kern w:val="0"/>
          <w:sz w:val="32"/>
          <w:szCs w:val="32"/>
          <w:lang w:val="en-US" w:eastAsia="zh-CN" w:bidi="ar-SA"/>
        </w:rPr>
        <w:t>%，原因主要</w:t>
      </w:r>
      <w:r>
        <w:rPr>
          <w:rFonts w:hint="eastAsia" w:ascii="TimesNewRoman" w:hAnsi="TimesNewRoman" w:cs="TimesNewRoman"/>
          <w:color w:val="auto"/>
          <w:kern w:val="0"/>
          <w:sz w:val="32"/>
          <w:szCs w:val="32"/>
          <w:lang w:val="en-US" w:eastAsia="zh-CN" w:bidi="ar-SA"/>
        </w:rPr>
        <w:t>增加</w:t>
      </w:r>
      <w:r>
        <w:rPr>
          <w:rFonts w:hint="eastAsia" w:ascii="TimesNewRoman" w:hAnsi="TimesNewRoman" w:eastAsia="仿宋_GB2312" w:cs="TimesNewRoman"/>
          <w:color w:val="auto"/>
          <w:kern w:val="0"/>
          <w:sz w:val="32"/>
          <w:szCs w:val="32"/>
          <w:lang w:val="en-US" w:eastAsia="zh-CN" w:bidi="ar-SA"/>
        </w:rPr>
        <w:t>重点</w:t>
      </w:r>
      <w:r>
        <w:rPr>
          <w:rFonts w:hint="eastAsia" w:ascii="TimesNewRoman" w:hAnsi="TimesNewRoman" w:cs="TimesNewRoman"/>
          <w:color w:val="auto"/>
          <w:kern w:val="0"/>
          <w:sz w:val="32"/>
          <w:szCs w:val="32"/>
          <w:lang w:val="en-US" w:eastAsia="zh-CN" w:bidi="ar-SA"/>
        </w:rPr>
        <w:t>市场</w:t>
      </w:r>
      <w:r>
        <w:rPr>
          <w:rFonts w:hint="eastAsia" w:ascii="TimesNewRoman" w:hAnsi="TimesNewRoman" w:eastAsia="仿宋_GB2312" w:cs="TimesNewRoman"/>
          <w:color w:val="auto"/>
          <w:kern w:val="0"/>
          <w:sz w:val="32"/>
          <w:szCs w:val="32"/>
          <w:lang w:val="en-US" w:eastAsia="zh-CN" w:bidi="ar-SA"/>
        </w:rPr>
        <w:t>监管项目</w:t>
      </w:r>
      <w:r>
        <w:rPr>
          <w:rFonts w:hint="eastAsia" w:ascii="TimesNewRoman" w:hAnsi="TimesNewRoman" w:cs="TimesNewRoman"/>
          <w:color w:val="auto"/>
          <w:kern w:val="0"/>
          <w:sz w:val="32"/>
          <w:szCs w:val="32"/>
          <w:lang w:val="en-US" w:eastAsia="zh-CN" w:bidi="ar-SA"/>
        </w:rPr>
        <w:t>预算</w:t>
      </w:r>
      <w:r>
        <w:rPr>
          <w:rFonts w:hint="eastAsia" w:ascii="TimesNewRoman" w:hAnsi="TimesNewRoman" w:eastAsia="仿宋_GB2312" w:cs="TimesNewRoman"/>
          <w:color w:val="auto"/>
          <w:kern w:val="0"/>
          <w:sz w:val="32"/>
          <w:szCs w:val="32"/>
          <w:lang w:val="en-US" w:eastAsia="zh-CN" w:bidi="ar-SA"/>
        </w:rPr>
        <w:t>。</w:t>
      </w:r>
    </w:p>
    <w:p w14:paraId="0A77D79E">
      <w:pPr>
        <w:keepNext w:val="0"/>
        <w:keepLines w:val="0"/>
        <w:pageBreakBefore w:val="0"/>
        <w:kinsoku/>
        <w:wordWrap/>
        <w:overflowPunct/>
        <w:autoSpaceDE/>
        <w:autoSpaceDN/>
        <w:bidi w:val="0"/>
        <w:adjustRightInd w:val="0"/>
        <w:snapToGrid w:val="0"/>
        <w:spacing w:beforeAutospacing="0" w:afterAutospacing="0" w:line="520" w:lineRule="exact"/>
        <w:ind w:firstLine="640" w:firstLineChars="200"/>
        <w:textAlignment w:val="auto"/>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14.社会保障和就业支出（类）行政事业单位养老支出（款）行政单位离退休（项）2024年预算368.78万元，比2023年预算增加50.81万元，增长15.98%，原因主要是政策性增资及行政退休人员增加。</w:t>
      </w:r>
    </w:p>
    <w:p w14:paraId="5C8AACC8">
      <w:pPr>
        <w:keepNext w:val="0"/>
        <w:keepLines w:val="0"/>
        <w:pageBreakBefore w:val="0"/>
        <w:kinsoku/>
        <w:wordWrap/>
        <w:overflowPunct/>
        <w:autoSpaceDE/>
        <w:autoSpaceDN/>
        <w:bidi w:val="0"/>
        <w:adjustRightInd w:val="0"/>
        <w:snapToGrid w:val="0"/>
        <w:spacing w:beforeAutospacing="0" w:afterAutospacing="0" w:line="520" w:lineRule="exact"/>
        <w:ind w:firstLine="640" w:firstLineChars="200"/>
        <w:textAlignment w:val="auto"/>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15.社会保障和就业支出（类）行政事业单位养老支出（款）事业单位离退休（项）2024年预算101.85万元，比2023年预算增加29.44万元，增长40.66%，原因主要是政策性增资及事业退休人员增加。</w:t>
      </w:r>
    </w:p>
    <w:p w14:paraId="241A67BA">
      <w:pPr>
        <w:pStyle w:val="9"/>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16.社会保障和就业支出（类）行政事业单位养老支出（款）机关事业单位基本养老保险缴费支出（项）202</w:t>
      </w:r>
      <w:r>
        <w:rPr>
          <w:rFonts w:hint="eastAsia" w:ascii="TimesNewRoman" w:hAnsi="TimesNewRoman" w:cs="TimesNewRoman"/>
          <w:color w:val="auto"/>
          <w:kern w:val="0"/>
          <w:sz w:val="32"/>
          <w:szCs w:val="32"/>
          <w:lang w:val="en-US" w:eastAsia="zh-CN" w:bidi="ar-SA"/>
        </w:rPr>
        <w:t>4</w:t>
      </w:r>
      <w:r>
        <w:rPr>
          <w:rFonts w:hint="eastAsia" w:ascii="TimesNewRoman" w:hAnsi="TimesNewRoman" w:eastAsia="仿宋_GB2312" w:cs="TimesNewRoman"/>
          <w:color w:val="auto"/>
          <w:kern w:val="0"/>
          <w:sz w:val="32"/>
          <w:szCs w:val="32"/>
          <w:lang w:val="en-US" w:eastAsia="zh-CN" w:bidi="ar-SA"/>
        </w:rPr>
        <w:t>年预算46</w:t>
      </w:r>
      <w:r>
        <w:rPr>
          <w:rFonts w:hint="eastAsia" w:ascii="TimesNewRoman" w:hAnsi="TimesNewRoman" w:cs="TimesNewRoman"/>
          <w:color w:val="auto"/>
          <w:kern w:val="0"/>
          <w:sz w:val="32"/>
          <w:szCs w:val="32"/>
          <w:lang w:val="en-US" w:eastAsia="zh-CN" w:bidi="ar-SA"/>
        </w:rPr>
        <w:t>1</w:t>
      </w:r>
      <w:r>
        <w:rPr>
          <w:rFonts w:hint="eastAsia" w:ascii="TimesNewRoman" w:hAnsi="TimesNewRoman" w:eastAsia="仿宋_GB2312" w:cs="TimesNewRoman"/>
          <w:color w:val="auto"/>
          <w:kern w:val="0"/>
          <w:sz w:val="32"/>
          <w:szCs w:val="32"/>
          <w:lang w:val="en-US" w:eastAsia="zh-CN" w:bidi="ar-SA"/>
        </w:rPr>
        <w:t>.</w:t>
      </w:r>
      <w:r>
        <w:rPr>
          <w:rFonts w:hint="eastAsia" w:ascii="TimesNewRoman" w:hAnsi="TimesNewRoman" w:cs="TimesNewRoman"/>
          <w:color w:val="auto"/>
          <w:kern w:val="0"/>
          <w:sz w:val="32"/>
          <w:szCs w:val="32"/>
          <w:lang w:val="en-US" w:eastAsia="zh-CN" w:bidi="ar-SA"/>
        </w:rPr>
        <w:t>91</w:t>
      </w:r>
      <w:r>
        <w:rPr>
          <w:rFonts w:hint="eastAsia" w:ascii="TimesNewRoman" w:hAnsi="TimesNewRoman" w:eastAsia="仿宋_GB2312" w:cs="TimesNewRoman"/>
          <w:color w:val="auto"/>
          <w:kern w:val="0"/>
          <w:sz w:val="32"/>
          <w:szCs w:val="32"/>
          <w:lang w:val="en-US" w:eastAsia="zh-CN" w:bidi="ar-SA"/>
        </w:rPr>
        <w:t>万元，比202</w:t>
      </w:r>
      <w:r>
        <w:rPr>
          <w:rFonts w:hint="eastAsia" w:ascii="TimesNewRoman" w:hAnsi="TimesNewRoman" w:cs="TimesNewRoman"/>
          <w:color w:val="auto"/>
          <w:kern w:val="0"/>
          <w:sz w:val="32"/>
          <w:szCs w:val="32"/>
          <w:lang w:val="en-US" w:eastAsia="zh-CN" w:bidi="ar-SA"/>
        </w:rPr>
        <w:t>3</w:t>
      </w:r>
      <w:r>
        <w:rPr>
          <w:rFonts w:hint="eastAsia" w:ascii="TimesNewRoman" w:hAnsi="TimesNewRoman" w:eastAsia="仿宋_GB2312" w:cs="TimesNewRoman"/>
          <w:color w:val="auto"/>
          <w:kern w:val="0"/>
          <w:sz w:val="32"/>
          <w:szCs w:val="32"/>
          <w:lang w:val="en-US" w:eastAsia="zh-CN" w:bidi="ar-SA"/>
        </w:rPr>
        <w:t>年预算</w:t>
      </w:r>
      <w:r>
        <w:rPr>
          <w:rFonts w:hint="eastAsia" w:ascii="TimesNewRoman" w:hAnsi="TimesNewRoman" w:cs="TimesNewRoman"/>
          <w:color w:val="auto"/>
          <w:kern w:val="0"/>
          <w:sz w:val="32"/>
          <w:szCs w:val="32"/>
          <w:lang w:val="en-US" w:eastAsia="zh-CN" w:bidi="ar-SA"/>
        </w:rPr>
        <w:t>减少7.45</w:t>
      </w:r>
      <w:r>
        <w:rPr>
          <w:rFonts w:hint="eastAsia" w:ascii="TimesNewRoman" w:hAnsi="TimesNewRoman" w:eastAsia="仿宋_GB2312" w:cs="TimesNewRoman"/>
          <w:color w:val="auto"/>
          <w:kern w:val="0"/>
          <w:sz w:val="32"/>
          <w:szCs w:val="32"/>
          <w:lang w:val="en-US" w:eastAsia="zh-CN" w:bidi="ar-SA"/>
        </w:rPr>
        <w:t>万元，</w:t>
      </w:r>
      <w:r>
        <w:rPr>
          <w:rFonts w:hint="eastAsia" w:ascii="TimesNewRoman" w:hAnsi="TimesNewRoman" w:cs="TimesNewRoman"/>
          <w:color w:val="auto"/>
          <w:kern w:val="0"/>
          <w:sz w:val="32"/>
          <w:szCs w:val="32"/>
          <w:lang w:val="en-US" w:eastAsia="zh-CN" w:bidi="ar-SA"/>
        </w:rPr>
        <w:t>下降1.59</w:t>
      </w:r>
      <w:r>
        <w:rPr>
          <w:rFonts w:hint="eastAsia" w:ascii="TimesNewRoman" w:hAnsi="TimesNewRoman" w:eastAsia="仿宋_GB2312" w:cs="TimesNewRoman"/>
          <w:color w:val="auto"/>
          <w:kern w:val="0"/>
          <w:sz w:val="32"/>
          <w:szCs w:val="32"/>
          <w:lang w:val="en-US" w:eastAsia="zh-CN" w:bidi="ar-SA"/>
        </w:rPr>
        <w:t>%，原因主要是</w:t>
      </w:r>
      <w:r>
        <w:rPr>
          <w:rFonts w:hint="eastAsia" w:ascii="TimesNewRoman" w:hAnsi="TimesNewRoman" w:cs="TimesNewRoman"/>
          <w:color w:val="auto"/>
          <w:kern w:val="0"/>
          <w:sz w:val="32"/>
          <w:szCs w:val="32"/>
          <w:lang w:val="en-US" w:eastAsia="zh-CN" w:bidi="ar-SA"/>
        </w:rPr>
        <w:t>行政事业单位人员减少</w:t>
      </w:r>
      <w:r>
        <w:rPr>
          <w:rFonts w:hint="eastAsia" w:ascii="TimesNewRoman" w:hAnsi="TimesNewRoman" w:eastAsia="仿宋_GB2312" w:cs="TimesNewRoman"/>
          <w:color w:val="auto"/>
          <w:kern w:val="0"/>
          <w:sz w:val="32"/>
          <w:szCs w:val="32"/>
          <w:lang w:val="en-US" w:eastAsia="zh-CN" w:bidi="ar-SA"/>
        </w:rPr>
        <w:t>。</w:t>
      </w:r>
    </w:p>
    <w:p w14:paraId="7853935A">
      <w:pPr>
        <w:pStyle w:val="9"/>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17.社会保障和就业支出（类）行政事业单位养老支出（款）机关事业单位职业年金缴费支出（项）202</w:t>
      </w:r>
      <w:r>
        <w:rPr>
          <w:rFonts w:hint="eastAsia" w:ascii="TimesNewRoman" w:hAnsi="TimesNewRoman" w:cs="TimesNewRoman"/>
          <w:color w:val="auto"/>
          <w:kern w:val="0"/>
          <w:sz w:val="32"/>
          <w:szCs w:val="32"/>
          <w:lang w:val="en-US" w:eastAsia="zh-CN" w:bidi="ar-SA"/>
        </w:rPr>
        <w:t>4</w:t>
      </w:r>
      <w:r>
        <w:rPr>
          <w:rFonts w:hint="eastAsia" w:ascii="TimesNewRoman" w:hAnsi="TimesNewRoman" w:eastAsia="仿宋_GB2312" w:cs="TimesNewRoman"/>
          <w:color w:val="auto"/>
          <w:kern w:val="0"/>
          <w:sz w:val="32"/>
          <w:szCs w:val="32"/>
          <w:lang w:val="en-US" w:eastAsia="zh-CN" w:bidi="ar-SA"/>
        </w:rPr>
        <w:t>年预算</w:t>
      </w:r>
      <w:r>
        <w:rPr>
          <w:rFonts w:hint="eastAsia" w:ascii="TimesNewRoman" w:hAnsi="TimesNewRoman" w:cs="TimesNewRoman"/>
          <w:color w:val="auto"/>
          <w:kern w:val="0"/>
          <w:sz w:val="32"/>
          <w:szCs w:val="32"/>
          <w:lang w:val="en-US" w:eastAsia="zh-CN" w:bidi="ar-SA"/>
        </w:rPr>
        <w:t>218.94</w:t>
      </w:r>
      <w:r>
        <w:rPr>
          <w:rFonts w:hint="eastAsia" w:ascii="TimesNewRoman" w:hAnsi="TimesNewRoman" w:eastAsia="仿宋_GB2312" w:cs="TimesNewRoman"/>
          <w:color w:val="auto"/>
          <w:kern w:val="0"/>
          <w:sz w:val="32"/>
          <w:szCs w:val="32"/>
          <w:lang w:val="en-US" w:eastAsia="zh-CN" w:bidi="ar-SA"/>
        </w:rPr>
        <w:t>万元，比202</w:t>
      </w:r>
      <w:r>
        <w:rPr>
          <w:rFonts w:hint="eastAsia" w:ascii="TimesNewRoman" w:hAnsi="TimesNewRoman" w:cs="TimesNewRoman"/>
          <w:color w:val="auto"/>
          <w:kern w:val="0"/>
          <w:sz w:val="32"/>
          <w:szCs w:val="32"/>
          <w:lang w:val="en-US" w:eastAsia="zh-CN" w:bidi="ar-SA"/>
        </w:rPr>
        <w:t>3</w:t>
      </w:r>
      <w:r>
        <w:rPr>
          <w:rFonts w:hint="eastAsia" w:ascii="TimesNewRoman" w:hAnsi="TimesNewRoman" w:eastAsia="仿宋_GB2312" w:cs="TimesNewRoman"/>
          <w:color w:val="auto"/>
          <w:kern w:val="0"/>
          <w:sz w:val="32"/>
          <w:szCs w:val="32"/>
          <w:lang w:val="en-US" w:eastAsia="zh-CN" w:bidi="ar-SA"/>
        </w:rPr>
        <w:t>年预算增加</w:t>
      </w:r>
      <w:r>
        <w:rPr>
          <w:rFonts w:hint="eastAsia" w:ascii="TimesNewRoman" w:hAnsi="TimesNewRoman" w:cs="TimesNewRoman"/>
          <w:color w:val="auto"/>
          <w:kern w:val="0"/>
          <w:sz w:val="32"/>
          <w:szCs w:val="32"/>
          <w:lang w:val="en-US" w:eastAsia="zh-CN" w:bidi="ar-SA"/>
        </w:rPr>
        <w:t>29.97</w:t>
      </w:r>
      <w:r>
        <w:rPr>
          <w:rFonts w:hint="eastAsia" w:ascii="TimesNewRoman" w:hAnsi="TimesNewRoman" w:eastAsia="仿宋_GB2312" w:cs="TimesNewRoman"/>
          <w:color w:val="auto"/>
          <w:kern w:val="0"/>
          <w:sz w:val="32"/>
          <w:szCs w:val="32"/>
          <w:lang w:val="en-US" w:eastAsia="zh-CN" w:bidi="ar-SA"/>
        </w:rPr>
        <w:t>万元，增长</w:t>
      </w:r>
      <w:r>
        <w:rPr>
          <w:rFonts w:hint="eastAsia" w:ascii="TimesNewRoman" w:hAnsi="TimesNewRoman" w:cs="TimesNewRoman"/>
          <w:color w:val="auto"/>
          <w:kern w:val="0"/>
          <w:sz w:val="32"/>
          <w:szCs w:val="32"/>
          <w:lang w:val="en-US" w:eastAsia="zh-CN" w:bidi="ar-SA"/>
        </w:rPr>
        <w:t>15.93</w:t>
      </w:r>
      <w:r>
        <w:rPr>
          <w:rFonts w:hint="eastAsia" w:ascii="TimesNewRoman" w:hAnsi="TimesNewRoman" w:eastAsia="仿宋_GB2312" w:cs="TimesNewRoman"/>
          <w:color w:val="auto"/>
          <w:kern w:val="0"/>
          <w:sz w:val="32"/>
          <w:szCs w:val="32"/>
          <w:lang w:val="en-US" w:eastAsia="zh-CN" w:bidi="ar-SA"/>
        </w:rPr>
        <w:t>%，原因主要是人员工资基数增加。</w:t>
      </w:r>
    </w:p>
    <w:p w14:paraId="38B6E399">
      <w:pPr>
        <w:pStyle w:val="9"/>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18.社会保障和就业支出（类）其他社会保障和就业支出（款）其他社会保障和就业支出（项）202</w:t>
      </w:r>
      <w:r>
        <w:rPr>
          <w:rFonts w:hint="eastAsia" w:ascii="TimesNewRoman" w:hAnsi="TimesNewRoman" w:cs="TimesNewRoman"/>
          <w:color w:val="auto"/>
          <w:kern w:val="0"/>
          <w:sz w:val="32"/>
          <w:szCs w:val="32"/>
          <w:lang w:val="en-US" w:eastAsia="zh-CN" w:bidi="ar-SA"/>
        </w:rPr>
        <w:t>4</w:t>
      </w:r>
      <w:r>
        <w:rPr>
          <w:rFonts w:hint="eastAsia" w:ascii="TimesNewRoman" w:hAnsi="TimesNewRoman" w:eastAsia="仿宋_GB2312" w:cs="TimesNewRoman"/>
          <w:color w:val="auto"/>
          <w:kern w:val="0"/>
          <w:sz w:val="32"/>
          <w:szCs w:val="32"/>
          <w:lang w:val="en-US" w:eastAsia="zh-CN" w:bidi="ar-SA"/>
        </w:rPr>
        <w:t>年预算</w:t>
      </w:r>
      <w:r>
        <w:rPr>
          <w:rFonts w:hint="eastAsia" w:ascii="TimesNewRoman" w:hAnsi="TimesNewRoman" w:cs="TimesNewRoman"/>
          <w:color w:val="auto"/>
          <w:kern w:val="0"/>
          <w:sz w:val="32"/>
          <w:szCs w:val="32"/>
          <w:lang w:val="en-US" w:eastAsia="zh-CN" w:bidi="ar-SA"/>
        </w:rPr>
        <w:t>25.91</w:t>
      </w:r>
      <w:r>
        <w:rPr>
          <w:rFonts w:hint="eastAsia" w:ascii="TimesNewRoman" w:hAnsi="TimesNewRoman" w:eastAsia="仿宋_GB2312" w:cs="TimesNewRoman"/>
          <w:color w:val="auto"/>
          <w:kern w:val="0"/>
          <w:sz w:val="32"/>
          <w:szCs w:val="32"/>
          <w:lang w:val="en-US" w:eastAsia="zh-CN" w:bidi="ar-SA"/>
        </w:rPr>
        <w:t>万元，比202</w:t>
      </w:r>
      <w:r>
        <w:rPr>
          <w:rFonts w:hint="eastAsia" w:ascii="TimesNewRoman" w:hAnsi="TimesNewRoman" w:cs="TimesNewRoman"/>
          <w:color w:val="auto"/>
          <w:kern w:val="0"/>
          <w:sz w:val="32"/>
          <w:szCs w:val="32"/>
          <w:lang w:val="en-US" w:eastAsia="zh-CN" w:bidi="ar-SA"/>
        </w:rPr>
        <w:t>3</w:t>
      </w:r>
      <w:r>
        <w:rPr>
          <w:rFonts w:hint="eastAsia" w:ascii="TimesNewRoman" w:hAnsi="TimesNewRoman" w:eastAsia="仿宋_GB2312" w:cs="TimesNewRoman"/>
          <w:color w:val="auto"/>
          <w:kern w:val="0"/>
          <w:sz w:val="32"/>
          <w:szCs w:val="32"/>
          <w:lang w:val="en-US" w:eastAsia="zh-CN" w:bidi="ar-SA"/>
        </w:rPr>
        <w:t>年预算减少</w:t>
      </w:r>
      <w:r>
        <w:rPr>
          <w:rFonts w:hint="eastAsia" w:ascii="TimesNewRoman" w:hAnsi="TimesNewRoman" w:cs="TimesNewRoman"/>
          <w:color w:val="auto"/>
          <w:kern w:val="0"/>
          <w:sz w:val="32"/>
          <w:szCs w:val="32"/>
          <w:lang w:val="en-US" w:eastAsia="zh-CN" w:bidi="ar-SA"/>
        </w:rPr>
        <w:t>39.72</w:t>
      </w:r>
      <w:r>
        <w:rPr>
          <w:rFonts w:hint="eastAsia" w:ascii="TimesNewRoman" w:hAnsi="TimesNewRoman" w:eastAsia="仿宋_GB2312" w:cs="TimesNewRoman"/>
          <w:color w:val="auto"/>
          <w:kern w:val="0"/>
          <w:sz w:val="32"/>
          <w:szCs w:val="32"/>
          <w:lang w:val="en-US" w:eastAsia="zh-CN" w:bidi="ar-SA"/>
        </w:rPr>
        <w:t>万元，下降</w:t>
      </w:r>
      <w:r>
        <w:rPr>
          <w:rFonts w:hint="eastAsia" w:ascii="TimesNewRoman" w:hAnsi="TimesNewRoman" w:cs="TimesNewRoman"/>
          <w:color w:val="auto"/>
          <w:kern w:val="0"/>
          <w:sz w:val="32"/>
          <w:szCs w:val="32"/>
          <w:lang w:val="en-US" w:eastAsia="zh-CN" w:bidi="ar-SA"/>
        </w:rPr>
        <w:t>60.52</w:t>
      </w:r>
      <w:r>
        <w:rPr>
          <w:rFonts w:hint="eastAsia" w:ascii="TimesNewRoman" w:hAnsi="TimesNewRoman" w:eastAsia="仿宋_GB2312" w:cs="TimesNewRoman"/>
          <w:color w:val="auto"/>
          <w:kern w:val="0"/>
          <w:sz w:val="32"/>
          <w:szCs w:val="32"/>
          <w:lang w:val="en-US" w:eastAsia="zh-CN" w:bidi="ar-SA"/>
        </w:rPr>
        <w:t>%，原因主要是政府收支分类科目调整。</w:t>
      </w:r>
    </w:p>
    <w:p w14:paraId="359E4396">
      <w:pPr>
        <w:keepNext w:val="0"/>
        <w:keepLines w:val="0"/>
        <w:pageBreakBefore w:val="0"/>
        <w:kinsoku/>
        <w:wordWrap/>
        <w:overflowPunct/>
        <w:autoSpaceDE/>
        <w:autoSpaceDN/>
        <w:bidi w:val="0"/>
        <w:adjustRightInd w:val="0"/>
        <w:snapToGrid w:val="0"/>
        <w:spacing w:beforeAutospacing="0" w:afterAutospacing="0" w:line="520" w:lineRule="exact"/>
        <w:ind w:firstLine="640" w:firstLineChars="200"/>
        <w:textAlignment w:val="auto"/>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19.卫生健康支出（类）行政事业单位医疗（款）行政单位医疗（项）2024年预算74.02万元，比2023年预算减少4.45万元，下降5.67%，原因主要是行政在职人员净减少。</w:t>
      </w:r>
    </w:p>
    <w:p w14:paraId="7037F423">
      <w:pPr>
        <w:keepNext w:val="0"/>
        <w:keepLines w:val="0"/>
        <w:pageBreakBefore w:val="0"/>
        <w:kinsoku/>
        <w:wordWrap/>
        <w:overflowPunct/>
        <w:autoSpaceDE/>
        <w:autoSpaceDN/>
        <w:bidi w:val="0"/>
        <w:adjustRightInd w:val="0"/>
        <w:snapToGrid w:val="0"/>
        <w:spacing w:beforeAutospacing="0" w:afterAutospacing="0" w:line="520" w:lineRule="exact"/>
        <w:ind w:firstLine="640" w:firstLineChars="200"/>
        <w:textAlignment w:val="auto"/>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20.卫生健康支出（类）行政事业单位医疗（款）事业单位医疗（项）2024年预算100.12万元，比2023年预算减少1.59万元，下降1.56%，原因主要是事业单位人员净减少。</w:t>
      </w:r>
    </w:p>
    <w:p w14:paraId="39937D7A">
      <w:pPr>
        <w:keepNext w:val="0"/>
        <w:keepLines w:val="0"/>
        <w:pageBreakBefore w:val="0"/>
        <w:kinsoku/>
        <w:wordWrap/>
        <w:overflowPunct/>
        <w:autoSpaceDE/>
        <w:autoSpaceDN/>
        <w:bidi w:val="0"/>
        <w:adjustRightInd w:val="0"/>
        <w:snapToGrid w:val="0"/>
        <w:spacing w:beforeAutospacing="0" w:afterAutospacing="0" w:line="520" w:lineRule="exact"/>
        <w:ind w:firstLine="640" w:firstLineChars="200"/>
        <w:textAlignment w:val="auto"/>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21.卫生健康支出（类）行政事业单位医疗（款）公务员医疗补助（项）2024年预算87.88万元，比2023年预算增加0万元，增长0%。</w:t>
      </w:r>
    </w:p>
    <w:p w14:paraId="61BB7FE4">
      <w:pPr>
        <w:keepNext w:val="0"/>
        <w:keepLines w:val="0"/>
        <w:pageBreakBefore w:val="0"/>
        <w:kinsoku/>
        <w:wordWrap/>
        <w:overflowPunct/>
        <w:autoSpaceDE/>
        <w:autoSpaceDN/>
        <w:bidi w:val="0"/>
        <w:adjustRightInd w:val="0"/>
        <w:snapToGrid w:val="0"/>
        <w:spacing w:beforeAutospacing="0" w:afterAutospacing="0" w:line="520" w:lineRule="exact"/>
        <w:ind w:firstLine="640" w:firstLineChars="200"/>
        <w:textAlignment w:val="auto"/>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22.住房保障支出（类）住房改革支出（款）住房公积金（项）2024年预算468.95万元，比2023年预算增加56.72万元，增长13.76%，原因主要是公积金基数调增。</w:t>
      </w:r>
    </w:p>
    <w:p w14:paraId="702E0996">
      <w:pPr>
        <w:pStyle w:val="2"/>
        <w:ind w:firstLine="640" w:firstLineChars="200"/>
        <w:rPr>
          <w:rFonts w:hint="eastAsia"/>
          <w:lang w:val="en-US" w:eastAsia="zh-CN"/>
        </w:rPr>
      </w:pPr>
      <w:r>
        <w:rPr>
          <w:rFonts w:hint="eastAsia" w:ascii="TimesNewRoman" w:hAnsi="TimesNewRoman" w:eastAsia="仿宋_GB2312" w:cs="TimesNewRoman"/>
          <w:color w:val="auto"/>
          <w:kern w:val="0"/>
          <w:sz w:val="32"/>
          <w:szCs w:val="32"/>
          <w:lang w:val="en-US" w:eastAsia="zh-CN" w:bidi="ar-SA"/>
        </w:rPr>
        <w:t>23.住房保障支出（类）住房改革支出（款）提租补贴（项）2024年预算65.99万元，比2023年预算增加65.99万元，原因主要是2024年新增项目。</w:t>
      </w:r>
    </w:p>
    <w:p w14:paraId="2A6A7D6A">
      <w:pPr>
        <w:keepNext w:val="0"/>
        <w:keepLines w:val="0"/>
        <w:pageBreakBefore w:val="0"/>
        <w:kinsoku/>
        <w:wordWrap/>
        <w:overflowPunct/>
        <w:autoSpaceDE/>
        <w:autoSpaceDN/>
        <w:bidi w:val="0"/>
        <w:adjustRightInd w:val="0"/>
        <w:snapToGrid w:val="0"/>
        <w:spacing w:beforeAutospacing="0" w:afterAutospacing="0" w:line="520" w:lineRule="exact"/>
        <w:ind w:firstLine="640" w:firstLineChars="200"/>
        <w:textAlignment w:val="auto"/>
        <w:rPr>
          <w:rFonts w:hint="eastAsia" w:ascii="TimesNewRoman" w:hAnsi="TimesNewRoman" w:eastAsia="仿宋_GB2312" w:cs="TimesNewRoman"/>
          <w:color w:val="auto"/>
          <w:kern w:val="0"/>
          <w:sz w:val="32"/>
          <w:szCs w:val="32"/>
          <w:lang w:val="en-US" w:eastAsia="zh-CN" w:bidi="ar-SA"/>
        </w:rPr>
      </w:pPr>
      <w:r>
        <w:rPr>
          <w:rFonts w:hint="eastAsia" w:ascii="TimesNewRoman" w:hAnsi="TimesNewRoman" w:eastAsia="仿宋_GB2312" w:cs="TimesNewRoman"/>
          <w:color w:val="auto"/>
          <w:kern w:val="0"/>
          <w:sz w:val="32"/>
          <w:szCs w:val="32"/>
          <w:lang w:val="en-US" w:eastAsia="zh-CN" w:bidi="ar-SA"/>
        </w:rPr>
        <w:t>24.住房保障支出（类）住房改革支出（款）购房补贴（项）2024年预算195.40万元，比2023年预算增加25.13万元，增长14.76%，原因主要是公积金基数调增。</w:t>
      </w:r>
    </w:p>
    <w:p w14:paraId="34F06201">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六、关于2024年一般公共预算基本支出表的说明</w:t>
      </w:r>
    </w:p>
    <w:p w14:paraId="2ECA2597">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color w:val="auto"/>
          <w:kern w:val="0"/>
          <w:sz w:val="32"/>
          <w:szCs w:val="32"/>
          <w:lang w:val="en-US" w:eastAsia="zh-CN" w:bidi="ar-SA"/>
        </w:rPr>
        <w:t>淮北市市场监督管理局</w:t>
      </w:r>
      <w:r>
        <w:rPr>
          <w:rFonts w:hint="eastAsia" w:ascii="TimesNewRoman" w:hAnsi="TimesNewRoman" w:eastAsia="仿宋_GB2312" w:cs="TimesNewRoman"/>
          <w:kern w:val="0"/>
          <w:sz w:val="32"/>
          <w:szCs w:val="32"/>
        </w:rPr>
        <w:t>2024年一般公共预算基本支出</w:t>
      </w:r>
      <w:r>
        <w:rPr>
          <w:rFonts w:hint="eastAsia" w:ascii="TimesNewRoman" w:hAnsi="TimesNewRoman" w:eastAsia="仿宋_GB2312" w:cs="TimesNewRoman"/>
          <w:kern w:val="0"/>
          <w:sz w:val="32"/>
          <w:szCs w:val="32"/>
          <w:lang w:val="en-US" w:eastAsia="zh-CN"/>
        </w:rPr>
        <w:t>5762.49</w:t>
      </w:r>
      <w:r>
        <w:rPr>
          <w:rFonts w:hint="eastAsia" w:ascii="TimesNewRoman" w:hAnsi="TimesNewRoman" w:eastAsia="仿宋_GB2312" w:cs="TimesNewRoman"/>
          <w:kern w:val="0"/>
          <w:sz w:val="32"/>
          <w:szCs w:val="32"/>
        </w:rPr>
        <w:t>万元，其中，人员经费</w:t>
      </w:r>
      <w:r>
        <w:rPr>
          <w:rFonts w:hint="eastAsia" w:ascii="TimesNewRoman" w:hAnsi="TimesNewRoman" w:eastAsia="仿宋_GB2312" w:cs="TimesNewRoman"/>
          <w:kern w:val="0"/>
          <w:sz w:val="32"/>
          <w:szCs w:val="32"/>
          <w:lang w:val="en-US" w:eastAsia="zh-CN"/>
        </w:rPr>
        <w:t>5307.61</w:t>
      </w:r>
      <w:r>
        <w:rPr>
          <w:rFonts w:hint="eastAsia" w:ascii="TimesNewRoman" w:hAnsi="TimesNewRoman" w:eastAsia="仿宋_GB2312" w:cs="TimesNewRoman"/>
          <w:kern w:val="0"/>
          <w:sz w:val="32"/>
          <w:szCs w:val="32"/>
        </w:rPr>
        <w:t>万元</w:t>
      </w:r>
      <w:bookmarkStart w:id="0" w:name="_GoBack"/>
      <w:bookmarkEnd w:id="0"/>
      <w:r>
        <w:rPr>
          <w:rFonts w:hint="eastAsia" w:ascii="TimesNewRoman" w:hAnsi="TimesNewRoman" w:eastAsia="仿宋_GB2312" w:cs="TimesNewRoman"/>
          <w:kern w:val="0"/>
          <w:sz w:val="32"/>
          <w:szCs w:val="32"/>
        </w:rPr>
        <w:t>，公用经费</w:t>
      </w:r>
      <w:r>
        <w:rPr>
          <w:rFonts w:hint="eastAsia" w:ascii="TimesNewRoman" w:hAnsi="TimesNewRoman" w:eastAsia="仿宋_GB2312" w:cs="TimesNewRoman"/>
          <w:kern w:val="0"/>
          <w:sz w:val="32"/>
          <w:szCs w:val="32"/>
          <w:lang w:val="en-US" w:eastAsia="zh-CN"/>
        </w:rPr>
        <w:t>454.88</w:t>
      </w:r>
      <w:r>
        <w:rPr>
          <w:rFonts w:hint="eastAsia" w:ascii="TimesNewRoman" w:hAnsi="TimesNewRoman" w:eastAsia="仿宋_GB2312" w:cs="TimesNewRoman"/>
          <w:kern w:val="0"/>
          <w:sz w:val="32"/>
          <w:szCs w:val="32"/>
        </w:rPr>
        <w:t>万元。</w:t>
      </w:r>
    </w:p>
    <w:p w14:paraId="3B4B08A4">
      <w:pPr>
        <w:keepNext w:val="0"/>
        <w:keepLines w:val="0"/>
        <w:pageBreakBefore w:val="0"/>
        <w:kinsoku/>
        <w:wordWrap/>
        <w:overflowPunct/>
        <w:autoSpaceDE/>
        <w:autoSpaceDN/>
        <w:bidi w:val="0"/>
        <w:spacing w:beforeAutospacing="0" w:afterAutospacing="0" w:line="520" w:lineRule="exact"/>
        <w:ind w:firstLine="643" w:firstLineChars="200"/>
        <w:textAlignment w:val="auto"/>
        <w:rPr>
          <w:rFonts w:ascii="TimesNewRoman" w:hAnsi="TimesNewRoman" w:eastAsia="仿宋_GB2312" w:cs="TimesNewRoman"/>
          <w:kern w:val="0"/>
          <w:sz w:val="32"/>
          <w:szCs w:val="32"/>
        </w:rPr>
      </w:pPr>
      <w:r>
        <w:rPr>
          <w:rFonts w:hint="eastAsia" w:ascii="TimesNewRoman" w:hAnsi="TimesNewRoman" w:eastAsia="仿宋_GB2312" w:cs="TimesNewRoman"/>
          <w:b/>
          <w:kern w:val="0"/>
          <w:sz w:val="32"/>
          <w:szCs w:val="32"/>
        </w:rPr>
        <w:t>（一）人员经费</w:t>
      </w:r>
      <w:r>
        <w:rPr>
          <w:rFonts w:hint="eastAsia" w:ascii="TimesNewRoman" w:hAnsi="TimesNewRoman" w:eastAsia="仿宋_GB2312" w:cs="TimesNewRoman"/>
          <w:b/>
          <w:kern w:val="0"/>
          <w:sz w:val="32"/>
          <w:szCs w:val="32"/>
          <w:lang w:val="en-US" w:eastAsia="zh-CN"/>
        </w:rPr>
        <w:t>5307.61</w:t>
      </w:r>
      <w:r>
        <w:rPr>
          <w:rFonts w:hint="eastAsia" w:ascii="TimesNewRoman" w:hAnsi="TimesNewRoman" w:eastAsia="仿宋_GB2312" w:cs="TimesNewRoman"/>
          <w:b/>
          <w:kern w:val="0"/>
          <w:sz w:val="32"/>
          <w:szCs w:val="32"/>
        </w:rPr>
        <w:t>万元，</w:t>
      </w:r>
      <w:r>
        <w:rPr>
          <w:rFonts w:hint="eastAsia" w:ascii="TimesNewRoman" w:hAnsi="TimesNewRoman" w:eastAsia="仿宋_GB2312" w:cs="TimesNewRoman"/>
          <w:color w:val="auto"/>
          <w:kern w:val="0"/>
          <w:sz w:val="32"/>
          <w:szCs w:val="32"/>
          <w:lang w:val="en-US" w:eastAsia="zh-CN" w:bidi="ar-SA"/>
        </w:rPr>
        <w:t>主要包括:基本工资、津贴补贴、奖金、伙食补助费、绩效工资、机关事业单位基本养老保险费、职业年金缴费、职工基本医疗保险缴费、公务员医疗补助缴费、其他社会保障缴费、工会经费、福利费、住房公积金、医疗费、其他工资福利支出、退休费、生活补助、医疗费补助、对其他个人和家庭的补助支出。</w:t>
      </w:r>
    </w:p>
    <w:p w14:paraId="772D2301">
      <w:pPr>
        <w:numPr>
          <w:ilvl w:val="0"/>
          <w:numId w:val="1"/>
        </w:numPr>
        <w:ind w:firstLine="643" w:firstLineChars="200"/>
        <w:rPr>
          <w:rFonts w:ascii="TimesNewRoman" w:hAnsi="TimesNewRoman" w:eastAsia="仿宋_GB2312" w:cs="TimesNewRoman"/>
          <w:kern w:val="0"/>
          <w:sz w:val="32"/>
          <w:szCs w:val="32"/>
        </w:rPr>
      </w:pPr>
      <w:r>
        <w:rPr>
          <w:rFonts w:hint="eastAsia" w:ascii="TimesNewRoman" w:hAnsi="TimesNewRoman" w:eastAsia="仿宋_GB2312" w:cs="TimesNewRoman"/>
          <w:b/>
          <w:kern w:val="0"/>
          <w:sz w:val="32"/>
          <w:szCs w:val="32"/>
        </w:rPr>
        <w:t>公用经费</w:t>
      </w:r>
      <w:r>
        <w:rPr>
          <w:rFonts w:hint="eastAsia" w:ascii="TimesNewRoman" w:hAnsi="TimesNewRoman" w:eastAsia="仿宋_GB2312" w:cs="TimesNewRoman"/>
          <w:b/>
          <w:kern w:val="0"/>
          <w:sz w:val="32"/>
          <w:szCs w:val="32"/>
          <w:lang w:val="en-US" w:eastAsia="zh-CN"/>
        </w:rPr>
        <w:t>454.88</w:t>
      </w:r>
      <w:r>
        <w:rPr>
          <w:rFonts w:hint="eastAsia" w:ascii="TimesNewRoman" w:hAnsi="TimesNewRoman" w:eastAsia="仿宋_GB2312" w:cs="TimesNewRoman"/>
          <w:b/>
          <w:kern w:val="0"/>
          <w:sz w:val="32"/>
          <w:szCs w:val="32"/>
        </w:rPr>
        <w:t>万元，</w:t>
      </w:r>
      <w:r>
        <w:rPr>
          <w:rFonts w:hint="eastAsia" w:ascii="TimesNewRoman" w:hAnsi="TimesNewRoman" w:eastAsia="仿宋_GB2312" w:cs="TimesNewRoman"/>
          <w:kern w:val="0"/>
          <w:sz w:val="32"/>
          <w:szCs w:val="32"/>
        </w:rPr>
        <w:t>主要包括：</w:t>
      </w:r>
      <w:r>
        <w:rPr>
          <w:rFonts w:hint="eastAsia" w:ascii="仿宋_GB2312" w:hAnsi="仿宋" w:eastAsia="仿宋_GB2312"/>
          <w:color w:val="auto"/>
          <w:sz w:val="32"/>
          <w:szCs w:val="32"/>
        </w:rPr>
        <w:t>办公费、印刷费、</w:t>
      </w:r>
      <w:r>
        <w:rPr>
          <w:rFonts w:hint="eastAsia" w:ascii="仿宋_GB2312" w:hAnsi="仿宋" w:eastAsia="仿宋_GB2312"/>
          <w:color w:val="auto"/>
          <w:sz w:val="32"/>
          <w:szCs w:val="32"/>
          <w:lang w:val="en-US" w:eastAsia="zh-CN"/>
        </w:rPr>
        <w:t>咨询费、</w:t>
      </w:r>
      <w:r>
        <w:rPr>
          <w:rFonts w:hint="eastAsia" w:ascii="仿宋_GB2312" w:hAnsi="仿宋" w:eastAsia="仿宋_GB2312"/>
          <w:color w:val="auto"/>
          <w:sz w:val="32"/>
          <w:szCs w:val="32"/>
        </w:rPr>
        <w:t>电费、邮电费</w:t>
      </w:r>
      <w:r>
        <w:rPr>
          <w:rFonts w:hint="eastAsia" w:ascii="仿宋_GB2312" w:hAnsi="仿宋" w:eastAsia="仿宋_GB2312"/>
          <w:color w:val="auto"/>
          <w:sz w:val="32"/>
          <w:szCs w:val="32"/>
          <w:lang w:val="en-US" w:eastAsia="zh-CN"/>
        </w:rPr>
        <w:t>、</w:t>
      </w:r>
      <w:r>
        <w:rPr>
          <w:rFonts w:hint="eastAsia" w:ascii="仿宋_GB2312" w:hAnsi="仿宋" w:eastAsia="仿宋_GB2312"/>
          <w:color w:val="auto"/>
          <w:sz w:val="32"/>
          <w:szCs w:val="32"/>
        </w:rPr>
        <w:t>差旅费、维修（护）费、租赁费、会议费、培训费、公务接待费、专用材料费、劳务费、委托业务费</w:t>
      </w:r>
      <w:r>
        <w:rPr>
          <w:rFonts w:hint="eastAsia" w:ascii="仿宋_GB2312" w:hAnsi="仿宋" w:eastAsia="仿宋_GB2312"/>
          <w:color w:val="auto"/>
          <w:sz w:val="32"/>
          <w:szCs w:val="32"/>
          <w:lang w:val="en-US" w:eastAsia="zh-CN"/>
        </w:rPr>
        <w:t>、</w:t>
      </w:r>
      <w:r>
        <w:rPr>
          <w:rFonts w:hint="eastAsia" w:ascii="仿宋_GB2312" w:hAnsi="仿宋" w:eastAsia="仿宋_GB2312"/>
          <w:color w:val="auto"/>
          <w:sz w:val="32"/>
          <w:szCs w:val="32"/>
        </w:rPr>
        <w:t>其他交通费用、其他商品服务支出、办公设备购置。</w:t>
      </w:r>
    </w:p>
    <w:p w14:paraId="2F9B3EE6">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七、关于2024年政府性基金预算支出表的说明</w:t>
      </w:r>
    </w:p>
    <w:p w14:paraId="56A76B80">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color w:val="auto"/>
          <w:kern w:val="0"/>
          <w:sz w:val="32"/>
          <w:szCs w:val="32"/>
          <w:lang w:val="en-US" w:eastAsia="zh-CN" w:bidi="ar-SA"/>
        </w:rPr>
        <w:t>淮北市市场监督管理局</w:t>
      </w:r>
      <w:r>
        <w:rPr>
          <w:rFonts w:hint="eastAsia" w:ascii="TimesNewRoman" w:hAnsi="TimesNewRoman" w:eastAsia="仿宋_GB2312" w:cs="TimesNewRoman"/>
          <w:kern w:val="0"/>
          <w:sz w:val="32"/>
          <w:szCs w:val="32"/>
        </w:rPr>
        <w:t>2024年没有政府性基金预算拨款收入，也没有使用政府性基金预算拨款安排的支出。</w:t>
      </w:r>
    </w:p>
    <w:p w14:paraId="25BB49B4">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八、关于2024年国有资本经营预算支出表的说明</w:t>
      </w:r>
    </w:p>
    <w:p w14:paraId="6EE94561">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color w:val="auto"/>
          <w:kern w:val="0"/>
          <w:sz w:val="32"/>
          <w:szCs w:val="32"/>
          <w:lang w:val="en-US" w:eastAsia="zh-CN" w:bidi="ar-SA"/>
        </w:rPr>
        <w:t>淮北市市场监督管理局</w:t>
      </w:r>
      <w:r>
        <w:rPr>
          <w:rFonts w:hint="eastAsia" w:ascii="TimesNewRoman" w:hAnsi="TimesNewRoman" w:eastAsia="仿宋_GB2312" w:cs="TimesNewRoman"/>
          <w:kern w:val="0"/>
          <w:sz w:val="32"/>
          <w:szCs w:val="32"/>
        </w:rPr>
        <w:t>2024年没有国有资本经营预算拨款收入，也没有使用国有资本经营预算拨款安排的支出。</w:t>
      </w:r>
    </w:p>
    <w:p w14:paraId="4117C09E">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九、关于2024年项目支出表的说明</w:t>
      </w:r>
    </w:p>
    <w:p w14:paraId="4B2427D8">
      <w:pPr>
        <w:ind w:firstLine="640" w:firstLineChars="200"/>
        <w:rPr>
          <w:rFonts w:ascii="TimesNewRoman" w:hAnsi="TimesNewRoman" w:eastAsia="仿宋_GB2312" w:cs="TimesNewRoman"/>
          <w:kern w:val="0"/>
          <w:sz w:val="32"/>
          <w:szCs w:val="32"/>
        </w:rPr>
      </w:pPr>
      <w:r>
        <w:rPr>
          <w:rFonts w:hint="eastAsia" w:ascii="仿宋_GB2312" w:hAnsi="仿宋" w:eastAsia="仿宋_GB2312"/>
          <w:sz w:val="32"/>
          <w:szCs w:val="32"/>
        </w:rPr>
        <w:t>淮北市市场监督管理局</w:t>
      </w:r>
      <w:r>
        <w:rPr>
          <w:rFonts w:hint="eastAsia" w:ascii="TimesNewRoman" w:hAnsi="TimesNewRoman" w:eastAsia="仿宋_GB2312" w:cs="TimesNewRoman"/>
          <w:kern w:val="0"/>
          <w:sz w:val="32"/>
          <w:szCs w:val="32"/>
        </w:rPr>
        <w:t>2024年预算共安排项目支出</w:t>
      </w:r>
      <w:r>
        <w:rPr>
          <w:rFonts w:hint="eastAsia" w:ascii="TimesNewRoman" w:hAnsi="TimesNewRoman" w:eastAsia="仿宋_GB2312" w:cs="TimesNewRoman"/>
          <w:kern w:val="0"/>
          <w:sz w:val="32"/>
          <w:szCs w:val="32"/>
          <w:lang w:val="en-US" w:eastAsia="zh-CN"/>
        </w:rPr>
        <w:t>1709.60</w:t>
      </w:r>
      <w:r>
        <w:rPr>
          <w:rFonts w:hint="eastAsia" w:ascii="TimesNewRoman" w:hAnsi="TimesNewRoman" w:eastAsia="仿宋_GB2312" w:cs="TimesNewRoman"/>
          <w:kern w:val="0"/>
          <w:sz w:val="32"/>
          <w:szCs w:val="32"/>
        </w:rPr>
        <w:t>万元，比2023年预算减少</w:t>
      </w:r>
      <w:r>
        <w:rPr>
          <w:rFonts w:hint="eastAsia" w:ascii="TimesNewRoman" w:hAnsi="TimesNewRoman" w:eastAsia="仿宋_GB2312" w:cs="TimesNewRoman"/>
          <w:kern w:val="0"/>
          <w:sz w:val="32"/>
          <w:szCs w:val="32"/>
          <w:lang w:val="en-US" w:eastAsia="zh-CN"/>
        </w:rPr>
        <w:t>189.83</w:t>
      </w:r>
      <w:r>
        <w:rPr>
          <w:rFonts w:hint="eastAsia" w:ascii="TimesNewRoman" w:hAnsi="TimesNewRoman" w:eastAsia="仿宋_GB2312" w:cs="TimesNewRoman"/>
          <w:kern w:val="0"/>
          <w:sz w:val="32"/>
          <w:szCs w:val="32"/>
        </w:rPr>
        <w:t>万元，下降</w:t>
      </w:r>
      <w:r>
        <w:rPr>
          <w:rFonts w:hint="eastAsia" w:ascii="TimesNewRoman" w:hAnsi="TimesNewRoman" w:eastAsia="仿宋_GB2312" w:cs="TimesNewRoman"/>
          <w:kern w:val="0"/>
          <w:sz w:val="32"/>
          <w:szCs w:val="32"/>
          <w:lang w:val="en-US" w:eastAsia="zh-CN"/>
        </w:rPr>
        <w:t>9.99</w:t>
      </w:r>
      <w:r>
        <w:rPr>
          <w:rFonts w:hint="eastAsia" w:ascii="TimesNewRoman" w:hAnsi="TimesNewRoman" w:eastAsia="仿宋_GB2312" w:cs="TimesNewRoman"/>
          <w:kern w:val="0"/>
          <w:sz w:val="32"/>
          <w:szCs w:val="32"/>
        </w:rPr>
        <w:t>%，原因主要是</w:t>
      </w:r>
      <w:r>
        <w:rPr>
          <w:rFonts w:hint="eastAsia" w:ascii="TimesNewRoman" w:hAnsi="TimesNewRoman" w:eastAsia="仿宋_GB2312" w:cs="TimesNewRoman"/>
          <w:kern w:val="0"/>
          <w:sz w:val="32"/>
          <w:szCs w:val="32"/>
          <w:lang w:val="en-US" w:eastAsia="zh-CN"/>
        </w:rPr>
        <w:t>减少计量能力提升项目支出</w:t>
      </w:r>
      <w:r>
        <w:rPr>
          <w:rFonts w:hint="eastAsia" w:ascii="TimesNewRoman" w:hAnsi="TimesNewRoman" w:eastAsia="仿宋_GB2312" w:cs="TimesNewRoman"/>
          <w:kern w:val="0"/>
          <w:sz w:val="32"/>
          <w:szCs w:val="32"/>
        </w:rPr>
        <w:t>。主要包括：本年财政拨款安排</w:t>
      </w:r>
      <w:r>
        <w:rPr>
          <w:rFonts w:hint="eastAsia" w:ascii="TimesNewRoman" w:hAnsi="TimesNewRoman" w:eastAsia="仿宋_GB2312" w:cs="TimesNewRoman"/>
          <w:kern w:val="0"/>
          <w:sz w:val="32"/>
          <w:szCs w:val="32"/>
          <w:lang w:val="en-US" w:eastAsia="zh-CN"/>
        </w:rPr>
        <w:t>1709.60</w:t>
      </w:r>
      <w:r>
        <w:rPr>
          <w:rFonts w:hint="eastAsia" w:ascii="TimesNewRoman" w:hAnsi="TimesNewRoman" w:eastAsia="仿宋_GB2312" w:cs="TimesNewRoman"/>
          <w:kern w:val="0"/>
          <w:sz w:val="32"/>
          <w:szCs w:val="32"/>
        </w:rPr>
        <w:t>万元（其中，一般公共预算拨款安排</w:t>
      </w:r>
      <w:r>
        <w:rPr>
          <w:rFonts w:hint="eastAsia" w:ascii="TimesNewRoman" w:hAnsi="TimesNewRoman" w:eastAsia="仿宋_GB2312" w:cs="TimesNewRoman"/>
          <w:kern w:val="0"/>
          <w:sz w:val="32"/>
          <w:szCs w:val="32"/>
          <w:lang w:val="en-US" w:eastAsia="zh-CN"/>
        </w:rPr>
        <w:t>1709.60</w:t>
      </w:r>
      <w:r>
        <w:rPr>
          <w:rFonts w:hint="eastAsia" w:ascii="TimesNewRoman" w:hAnsi="TimesNewRoman" w:eastAsia="仿宋_GB2312" w:cs="TimesNewRoman"/>
          <w:kern w:val="0"/>
          <w:sz w:val="32"/>
          <w:szCs w:val="32"/>
        </w:rPr>
        <w:t>万元，政府性基金预算拨款安排</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万元），财政专户管理资金安排</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w:t>
      </w:r>
    </w:p>
    <w:p w14:paraId="41D466A6">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十、关于2024年政府采购支出表的说明</w:t>
      </w:r>
    </w:p>
    <w:p w14:paraId="5F8B934A">
      <w:pPr>
        <w:ind w:firstLine="640" w:firstLineChars="200"/>
        <w:rPr>
          <w:rFonts w:ascii="TimesNewRoman" w:hAnsi="TimesNewRoman" w:eastAsia="仿宋_GB2312" w:cs="TimesNewRoman"/>
          <w:kern w:val="0"/>
          <w:sz w:val="32"/>
          <w:szCs w:val="32"/>
        </w:rPr>
      </w:pPr>
      <w:r>
        <w:rPr>
          <w:rFonts w:hint="eastAsia" w:ascii="仿宋_GB2312" w:hAnsi="仿宋" w:eastAsia="仿宋_GB2312"/>
          <w:sz w:val="32"/>
          <w:szCs w:val="32"/>
        </w:rPr>
        <w:t>淮北市市场监督管理局</w:t>
      </w:r>
      <w:r>
        <w:rPr>
          <w:rFonts w:hint="eastAsia" w:ascii="TimesNewRoman" w:hAnsi="TimesNewRoman" w:eastAsia="仿宋_GB2312" w:cs="TimesNewRoman"/>
          <w:kern w:val="0"/>
          <w:sz w:val="32"/>
          <w:szCs w:val="32"/>
        </w:rPr>
        <w:t>2024年预算安排政府采购支出</w:t>
      </w:r>
      <w:r>
        <w:rPr>
          <w:rFonts w:hint="eastAsia" w:ascii="TimesNewRoman" w:hAnsi="TimesNewRoman" w:eastAsia="仿宋_GB2312" w:cs="TimesNewRoman"/>
          <w:kern w:val="0"/>
          <w:sz w:val="32"/>
          <w:szCs w:val="32"/>
          <w:lang w:val="en-US" w:eastAsia="zh-CN"/>
        </w:rPr>
        <w:t>209.05</w:t>
      </w:r>
      <w:r>
        <w:rPr>
          <w:rFonts w:hint="eastAsia" w:ascii="TimesNewRoman" w:hAnsi="TimesNewRoman" w:eastAsia="仿宋_GB2312" w:cs="TimesNewRoman"/>
          <w:kern w:val="0"/>
          <w:sz w:val="32"/>
          <w:szCs w:val="32"/>
        </w:rPr>
        <w:t>万元，比2023年预算减少</w:t>
      </w:r>
      <w:r>
        <w:rPr>
          <w:rFonts w:hint="eastAsia" w:ascii="TimesNewRoman" w:hAnsi="TimesNewRoman" w:eastAsia="仿宋_GB2312" w:cs="TimesNewRoman"/>
          <w:kern w:val="0"/>
          <w:sz w:val="32"/>
          <w:szCs w:val="32"/>
          <w:lang w:val="en-US" w:eastAsia="zh-CN"/>
        </w:rPr>
        <w:t>230.74</w:t>
      </w:r>
      <w:r>
        <w:rPr>
          <w:rFonts w:hint="eastAsia" w:ascii="TimesNewRoman" w:hAnsi="TimesNewRoman" w:eastAsia="仿宋_GB2312" w:cs="TimesNewRoman"/>
          <w:kern w:val="0"/>
          <w:sz w:val="32"/>
          <w:szCs w:val="32"/>
        </w:rPr>
        <w:t>万元，下降</w:t>
      </w:r>
      <w:r>
        <w:rPr>
          <w:rFonts w:hint="eastAsia" w:ascii="TimesNewRoman" w:hAnsi="TimesNewRoman" w:eastAsia="仿宋_GB2312" w:cs="TimesNewRoman"/>
          <w:kern w:val="0"/>
          <w:sz w:val="32"/>
          <w:szCs w:val="32"/>
          <w:lang w:val="en-US" w:eastAsia="zh-CN"/>
        </w:rPr>
        <w:t>52.47</w:t>
      </w:r>
      <w:r>
        <w:rPr>
          <w:rFonts w:hint="eastAsia" w:ascii="TimesNewRoman" w:hAnsi="TimesNewRoman" w:eastAsia="仿宋_GB2312" w:cs="TimesNewRoman"/>
          <w:kern w:val="0"/>
          <w:sz w:val="32"/>
          <w:szCs w:val="32"/>
        </w:rPr>
        <w:t>%，原因主要是</w:t>
      </w:r>
      <w:r>
        <w:rPr>
          <w:rFonts w:hint="eastAsia" w:ascii="TimesNewRoman" w:hAnsi="TimesNewRoman" w:eastAsia="仿宋_GB2312" w:cs="TimesNewRoman"/>
          <w:kern w:val="0"/>
          <w:sz w:val="32"/>
          <w:szCs w:val="32"/>
          <w:lang w:val="en-US" w:eastAsia="zh-CN"/>
        </w:rPr>
        <w:t>二级单位计量所减少计量能力提升项目支出</w:t>
      </w:r>
      <w:r>
        <w:rPr>
          <w:rFonts w:hint="eastAsia" w:ascii="TimesNewRoman" w:hAnsi="TimesNewRoman" w:eastAsia="仿宋_GB2312" w:cs="TimesNewRoman"/>
          <w:kern w:val="0"/>
          <w:sz w:val="32"/>
          <w:szCs w:val="32"/>
        </w:rPr>
        <w:t>。其中，一般公共预算安排</w:t>
      </w:r>
      <w:r>
        <w:rPr>
          <w:rFonts w:hint="eastAsia" w:ascii="TimesNewRoman" w:hAnsi="TimesNewRoman" w:eastAsia="仿宋_GB2312" w:cs="TimesNewRoman"/>
          <w:kern w:val="0"/>
          <w:sz w:val="32"/>
          <w:szCs w:val="32"/>
          <w:lang w:val="en-US" w:eastAsia="zh-CN"/>
        </w:rPr>
        <w:t>209.05</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100</w:t>
      </w:r>
      <w:r>
        <w:rPr>
          <w:rFonts w:hint="eastAsia" w:ascii="TimesNewRoman" w:hAnsi="TimesNewRoman" w:eastAsia="仿宋_GB2312" w:cs="TimesNewRoman"/>
          <w:kern w:val="0"/>
          <w:sz w:val="32"/>
          <w:szCs w:val="32"/>
        </w:rPr>
        <w:t>%；政府性基金预算安排</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%；财政专户管理资金安排</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万元，占</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w:t>
      </w:r>
    </w:p>
    <w:p w14:paraId="59135FB7">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十一、关于2024年政府购买服务支出表的说明</w:t>
      </w:r>
    </w:p>
    <w:p w14:paraId="03DC116E">
      <w:pPr>
        <w:ind w:firstLine="640" w:firstLineChars="200"/>
        <w:rPr>
          <w:rFonts w:ascii="TimesNewRoman" w:hAnsi="TimesNewRoman" w:eastAsia="仿宋_GB2312" w:cs="TimesNewRoman"/>
          <w:kern w:val="0"/>
          <w:sz w:val="32"/>
          <w:szCs w:val="32"/>
        </w:rPr>
      </w:pPr>
      <w:r>
        <w:rPr>
          <w:rFonts w:hint="eastAsia" w:ascii="仿宋_GB2312" w:hAnsi="仿宋" w:eastAsia="仿宋_GB2312"/>
          <w:sz w:val="32"/>
          <w:szCs w:val="32"/>
        </w:rPr>
        <w:t>淮北市市场监督管理局</w:t>
      </w:r>
      <w:r>
        <w:rPr>
          <w:rFonts w:hint="eastAsia" w:ascii="TimesNewRoman" w:hAnsi="TimesNewRoman" w:eastAsia="仿宋_GB2312" w:cs="TimesNewRoman"/>
          <w:kern w:val="0"/>
          <w:sz w:val="32"/>
          <w:szCs w:val="32"/>
        </w:rPr>
        <w:t>2024年预算安排政府购买服务支出</w:t>
      </w:r>
      <w:r>
        <w:rPr>
          <w:rFonts w:hint="eastAsia" w:ascii="TimesNewRoman" w:hAnsi="TimesNewRoman" w:eastAsia="仿宋_GB2312" w:cs="TimesNewRoman"/>
          <w:kern w:val="0"/>
          <w:sz w:val="32"/>
          <w:szCs w:val="32"/>
          <w:lang w:val="en-US" w:eastAsia="zh-CN"/>
        </w:rPr>
        <w:t>207</w:t>
      </w:r>
      <w:r>
        <w:rPr>
          <w:rFonts w:hint="eastAsia" w:ascii="TimesNewRoman" w:hAnsi="TimesNewRoman" w:eastAsia="仿宋_GB2312" w:cs="TimesNewRoman"/>
          <w:kern w:val="0"/>
          <w:sz w:val="32"/>
          <w:szCs w:val="32"/>
        </w:rPr>
        <w:t>万元，比2023年预算增加</w:t>
      </w:r>
      <w:r>
        <w:rPr>
          <w:rFonts w:hint="eastAsia" w:ascii="TimesNewRoman" w:hAnsi="TimesNewRoman" w:eastAsia="仿宋_GB2312" w:cs="TimesNewRoman"/>
          <w:kern w:val="0"/>
          <w:sz w:val="32"/>
          <w:szCs w:val="32"/>
          <w:lang w:val="en-US" w:eastAsia="zh-CN"/>
        </w:rPr>
        <w:t>47</w:t>
      </w:r>
      <w:r>
        <w:rPr>
          <w:rFonts w:hint="eastAsia" w:ascii="TimesNewRoman" w:hAnsi="TimesNewRoman" w:eastAsia="仿宋_GB2312" w:cs="TimesNewRoman"/>
          <w:kern w:val="0"/>
          <w:sz w:val="32"/>
          <w:szCs w:val="32"/>
        </w:rPr>
        <w:t>万元，增长</w:t>
      </w:r>
      <w:r>
        <w:rPr>
          <w:rFonts w:hint="eastAsia" w:ascii="TimesNewRoman" w:hAnsi="TimesNewRoman" w:eastAsia="仿宋_GB2312" w:cs="TimesNewRoman"/>
          <w:kern w:val="0"/>
          <w:sz w:val="32"/>
          <w:szCs w:val="32"/>
          <w:lang w:val="en-US" w:eastAsia="zh-CN"/>
        </w:rPr>
        <w:t>29.38</w:t>
      </w:r>
      <w:r>
        <w:rPr>
          <w:rFonts w:hint="eastAsia" w:ascii="TimesNewRoman" w:hAnsi="TimesNewRoman" w:eastAsia="仿宋_GB2312" w:cs="TimesNewRoman"/>
          <w:kern w:val="0"/>
          <w:sz w:val="32"/>
          <w:szCs w:val="32"/>
        </w:rPr>
        <w:t>%，原因主要是</w:t>
      </w:r>
      <w:r>
        <w:rPr>
          <w:rFonts w:hint="eastAsia" w:ascii="仿宋_GB2312" w:eastAsia="仿宋_GB2312"/>
          <w:color w:val="000000"/>
          <w:sz w:val="32"/>
          <w:szCs w:val="32"/>
          <w:lang w:val="en-US" w:eastAsia="zh-CN"/>
        </w:rPr>
        <w:t>市市场监管局本级增加企业登记注册掌上办、电子印章服务费及电子营业执照应用系统</w:t>
      </w:r>
      <w:r>
        <w:rPr>
          <w:rFonts w:hint="eastAsia" w:ascii="TimesNewRoman" w:hAnsi="TimesNewRoman" w:eastAsia="仿宋_GB2312" w:cs="TimesNewRoman"/>
          <w:kern w:val="0"/>
          <w:sz w:val="32"/>
          <w:szCs w:val="32"/>
        </w:rPr>
        <w:t>。</w:t>
      </w:r>
    </w:p>
    <w:p w14:paraId="7B1DD2F1">
      <w:pPr>
        <w:pStyle w:val="4"/>
        <w:adjustRightInd w:val="0"/>
        <w:snapToGrid w:val="0"/>
        <w:spacing w:line="560" w:lineRule="exact"/>
        <w:ind w:firstLine="627" w:firstLineChars="196"/>
        <w:rPr>
          <w:rFonts w:ascii="TimesNewRoman" w:hAnsi="TimesNewRoman" w:eastAsia="黑体" w:cs="TimesNewRoman"/>
          <w:bCs/>
          <w:sz w:val="32"/>
          <w:szCs w:val="32"/>
        </w:rPr>
      </w:pPr>
      <w:r>
        <w:rPr>
          <w:rFonts w:hint="eastAsia" w:ascii="TimesNewRoman" w:hAnsi="TimesNewRoman" w:eastAsia="黑体" w:cs="TimesNewRoman"/>
          <w:bCs/>
          <w:sz w:val="32"/>
          <w:szCs w:val="32"/>
        </w:rPr>
        <w:t>十二、其他重要事项情况说明</w:t>
      </w:r>
    </w:p>
    <w:p w14:paraId="5D713A0F">
      <w:pPr>
        <w:adjustRightInd w:val="0"/>
        <w:snapToGrid w:val="0"/>
        <w:spacing w:line="580" w:lineRule="exact"/>
        <w:ind w:firstLine="643" w:firstLineChars="200"/>
        <w:rPr>
          <w:rFonts w:ascii="TimesNewRoman" w:hAnsi="TimesNewRoman" w:eastAsia="仿宋_GB2312" w:cs="TimesNewRoman"/>
          <w:b/>
          <w:sz w:val="32"/>
          <w:szCs w:val="32"/>
        </w:rPr>
      </w:pPr>
      <w:r>
        <w:rPr>
          <w:rFonts w:hint="eastAsia" w:ascii="TimesNewRoman" w:hAnsi="TimesNewRoman" w:eastAsia="仿宋_GB2312" w:cs="TimesNewRoman"/>
          <w:b/>
          <w:sz w:val="32"/>
          <w:szCs w:val="32"/>
        </w:rPr>
        <w:t>（一）项目及绩效目标情况。</w:t>
      </w:r>
    </w:p>
    <w:p w14:paraId="44E1C214">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w:t>
      </w:r>
      <w:r>
        <w:rPr>
          <w:rFonts w:hint="eastAsia" w:ascii="仿宋_GB2312" w:eastAsia="仿宋_GB2312"/>
          <w:sz w:val="32"/>
          <w:szCs w:val="32"/>
        </w:rPr>
        <w:t>市场监管综合业务及双打经费</w:t>
      </w:r>
      <w:r>
        <w:rPr>
          <w:rFonts w:hint="eastAsia" w:ascii="TimesNewRoman" w:hAnsi="TimesNewRoman" w:eastAsia="仿宋_GB2312" w:cs="TimesNewRoman"/>
          <w:kern w:val="0"/>
          <w:sz w:val="32"/>
          <w:szCs w:val="32"/>
        </w:rPr>
        <w:t>”项目。</w:t>
      </w:r>
    </w:p>
    <w:p w14:paraId="12A7ADB8">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（1）项目概述。</w:t>
      </w:r>
      <w:r>
        <w:rPr>
          <w:rFonts w:hint="eastAsia" w:ascii="Times New Roman" w:hAnsi="Times New Roman" w:eastAsia="仿宋_GB2312" w:cs="Times New Roman"/>
          <w:sz w:val="32"/>
          <w:szCs w:val="32"/>
          <w:lang w:val="zh-CN" w:eastAsia="zh-CN"/>
        </w:rPr>
        <w:t>紧扣</w:t>
      </w:r>
      <w:r>
        <w:rPr>
          <w:rFonts w:hint="eastAsia" w:ascii="Times New Roman" w:hAnsi="Times New Roman" w:eastAsia="仿宋_GB2312" w:cs="Times New Roman"/>
          <w:sz w:val="32"/>
          <w:szCs w:val="32"/>
          <w:lang w:val="zh-CN"/>
        </w:rPr>
        <w:t>“一个大市场、两个强市、三个监管、四个安全”工作着力点，全面优化营商环境，</w:t>
      </w:r>
      <w:r>
        <w:rPr>
          <w:rFonts w:hint="eastAsia" w:ascii="Times New Roman" w:hAnsi="Times New Roman" w:eastAsia="仿宋_GB2312" w:cs="Times New Roman"/>
          <w:sz w:val="32"/>
          <w:szCs w:val="32"/>
          <w:lang w:val="zh-CN" w:eastAsia="zh-CN"/>
        </w:rPr>
        <w:t>持续激发市场活力</w:t>
      </w:r>
      <w:r>
        <w:rPr>
          <w:rFonts w:hint="eastAsia" w:ascii="Times New Roman" w:hAnsi="Times New Roman" w:eastAsia="仿宋_GB2312" w:cs="Times New Roman"/>
          <w:sz w:val="32"/>
          <w:szCs w:val="32"/>
          <w:lang w:val="zh-CN"/>
        </w:rPr>
        <w:t>，</w:t>
      </w:r>
      <w:r>
        <w:rPr>
          <w:rFonts w:hint="eastAsia" w:ascii="Times New Roman" w:hAnsi="Times New Roman" w:eastAsia="仿宋_GB2312" w:cs="Times New Roman"/>
          <w:sz w:val="32"/>
          <w:szCs w:val="32"/>
          <w:lang w:val="zh-CN" w:eastAsia="zh-CN"/>
        </w:rPr>
        <w:t>促进</w:t>
      </w:r>
      <w:r>
        <w:rPr>
          <w:rFonts w:hint="eastAsia" w:ascii="Times New Roman" w:hAnsi="Times New Roman" w:eastAsia="仿宋_GB2312" w:cs="Times New Roman"/>
          <w:sz w:val="32"/>
          <w:szCs w:val="32"/>
          <w:lang w:val="zh-CN"/>
        </w:rPr>
        <w:t>高质量发展，</w:t>
      </w:r>
      <w:r>
        <w:rPr>
          <w:rFonts w:hint="eastAsia" w:ascii="Times New Roman" w:hAnsi="Times New Roman" w:eastAsia="仿宋_GB2312" w:cs="Times New Roman"/>
          <w:sz w:val="32"/>
          <w:szCs w:val="32"/>
          <w:lang w:val="zh-CN" w:eastAsia="zh-CN"/>
        </w:rPr>
        <w:t>提升市场监管效能。</w:t>
      </w:r>
      <w:r>
        <w:rPr>
          <w:rFonts w:hint="eastAsia" w:ascii="TimesNewRoman" w:hAnsi="TimesNewRoman" w:eastAsia="仿宋_GB2312" w:cs="TimesNewRoman"/>
          <w:kern w:val="0"/>
          <w:sz w:val="32"/>
          <w:szCs w:val="32"/>
          <w:lang w:val="en-US" w:eastAsia="zh-CN"/>
        </w:rPr>
        <w:t>一是</w:t>
      </w:r>
      <w:r>
        <w:rPr>
          <w:rFonts w:hint="eastAsia" w:ascii="TimesNewRoman" w:hAnsi="TimesNewRoman" w:eastAsia="仿宋_GB2312" w:cs="TimesNewRoman"/>
          <w:kern w:val="0"/>
          <w:sz w:val="32"/>
          <w:szCs w:val="32"/>
        </w:rPr>
        <w:t>通过多种渠道宣传、公告等方式进一步提高企业信用信息公示自主性，提醒失信企业主动进行信用修复，清理僵尸企业，提高市场活力，实施双随机抽查、促进地方经济健康发展</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lang w:val="en-US" w:eastAsia="zh-CN"/>
        </w:rPr>
        <w:t>二是</w:t>
      </w:r>
      <w:r>
        <w:rPr>
          <w:rFonts w:hint="eastAsia" w:ascii="TimesNewRoman" w:hAnsi="TimesNewRoman" w:eastAsia="仿宋_GB2312" w:cs="TimesNewRoman"/>
          <w:kern w:val="0"/>
          <w:sz w:val="32"/>
          <w:szCs w:val="32"/>
        </w:rPr>
        <w:t>紧紧围绕省、市非公党建系列工作部署，以服务“小个专”经济稳定发展为目标，开展“促三亮创三区争三优”活动，激励引导“小个专”党组织和广大党员经营户在生产经营和服务社会中做表率、当先锋，争示范、创品牌，全面提升我市“小个专”党建工作水平，促进我市“小个专”经济高质量发展。</w:t>
      </w:r>
      <w:r>
        <w:rPr>
          <w:rFonts w:hint="eastAsia" w:ascii="TimesNewRoman" w:hAnsi="TimesNewRoman" w:eastAsia="仿宋_GB2312" w:cs="TimesNewRoman"/>
          <w:kern w:val="0"/>
          <w:sz w:val="32"/>
          <w:szCs w:val="32"/>
          <w:lang w:val="en-US" w:eastAsia="zh-CN"/>
        </w:rPr>
        <w:t>三是</w:t>
      </w:r>
      <w:r>
        <w:rPr>
          <w:rFonts w:hint="eastAsia" w:ascii="TimesNewRoman" w:hAnsi="TimesNewRoman" w:eastAsia="仿宋_GB2312" w:cs="TimesNewRoman"/>
          <w:kern w:val="0"/>
          <w:sz w:val="32"/>
          <w:szCs w:val="32"/>
        </w:rPr>
        <w:t>加强能源计量工作，推进我市节能减排工作，强化重点用能单位节能管理。</w:t>
      </w:r>
      <w:r>
        <w:rPr>
          <w:rFonts w:hint="eastAsia" w:ascii="TimesNewRoman" w:hAnsi="TimesNewRoman" w:eastAsia="仿宋_GB2312" w:cs="TimesNewRoman"/>
          <w:kern w:val="0"/>
          <w:sz w:val="32"/>
          <w:szCs w:val="32"/>
          <w:lang w:val="en-US" w:eastAsia="zh-CN"/>
        </w:rPr>
        <w:t>四是</w:t>
      </w:r>
      <w:r>
        <w:rPr>
          <w:rFonts w:hint="eastAsia" w:ascii="TimesNewRoman" w:hAnsi="TimesNewRoman" w:eastAsia="仿宋_GB2312" w:cs="TimesNewRoman"/>
          <w:kern w:val="0"/>
          <w:sz w:val="32"/>
          <w:szCs w:val="32"/>
        </w:rPr>
        <w:t>加强知识产权保护，加强多元化解纠纷机制建设，打通知识产权创造运用保护全链条，形成知识产权严大快同保护工作格局，营造良好的公平竞争环境。</w:t>
      </w:r>
      <w:r>
        <w:rPr>
          <w:rFonts w:hint="eastAsia" w:ascii="TimesNewRoman" w:hAnsi="TimesNewRoman" w:eastAsia="仿宋_GB2312" w:cs="TimesNewRoman"/>
          <w:kern w:val="0"/>
          <w:sz w:val="32"/>
          <w:szCs w:val="32"/>
          <w:lang w:val="en-US" w:eastAsia="zh-CN"/>
        </w:rPr>
        <w:t>五是</w:t>
      </w:r>
      <w:r>
        <w:rPr>
          <w:rFonts w:hint="eastAsia" w:ascii="TimesNewRoman" w:hAnsi="TimesNewRoman" w:eastAsia="仿宋_GB2312" w:cs="TimesNewRoman"/>
          <w:kern w:val="0"/>
          <w:sz w:val="32"/>
          <w:szCs w:val="32"/>
        </w:rPr>
        <w:t>实施电梯维保质量抽查可有效督促电梯维保单位提高电梯维保质量。</w:t>
      </w:r>
      <w:r>
        <w:rPr>
          <w:rFonts w:hint="eastAsia" w:ascii="TimesNewRoman" w:hAnsi="TimesNewRoman" w:eastAsia="仿宋_GB2312" w:cs="TimesNewRoman"/>
          <w:kern w:val="0"/>
          <w:sz w:val="32"/>
          <w:szCs w:val="32"/>
          <w:lang w:val="en-US" w:eastAsia="zh-CN"/>
        </w:rPr>
        <w:t>六是</w:t>
      </w:r>
      <w:r>
        <w:rPr>
          <w:rFonts w:hint="eastAsia" w:ascii="TimesNewRoman" w:hAnsi="TimesNewRoman" w:eastAsia="仿宋_GB2312" w:cs="TimesNewRoman"/>
          <w:kern w:val="0"/>
          <w:sz w:val="32"/>
          <w:szCs w:val="32"/>
        </w:rPr>
        <w:t>加强打击侵犯知识产权和制售假冒伪劣商品工作，加快知识产权强省建设，维护公平竞争的市场秩序，完善法治化、国际化、便利化的营商环境。</w:t>
      </w:r>
      <w:r>
        <w:rPr>
          <w:rFonts w:hint="eastAsia" w:ascii="TimesNewRoman" w:hAnsi="TimesNewRoman" w:eastAsia="仿宋_GB2312" w:cs="TimesNewRoman"/>
          <w:kern w:val="0"/>
          <w:sz w:val="32"/>
          <w:szCs w:val="32"/>
          <w:lang w:val="en-US" w:eastAsia="zh-CN"/>
        </w:rPr>
        <w:t>七是</w:t>
      </w:r>
      <w:r>
        <w:rPr>
          <w:rFonts w:hint="eastAsia" w:ascii="TimesNewRoman" w:hAnsi="TimesNewRoman" w:eastAsia="仿宋_GB2312" w:cs="TimesNewRoman"/>
          <w:kern w:val="0"/>
          <w:sz w:val="32"/>
          <w:szCs w:val="32"/>
        </w:rPr>
        <w:t>进行地方标准制修定，为我市在经济发展中争取行业话语权，对进一步规范行业发展行为，提高企业核心竞争力，促进我市工业、农业和服务业发展再上新台阶具有重要意义。</w:t>
      </w:r>
      <w:r>
        <w:rPr>
          <w:rFonts w:hint="eastAsia" w:ascii="TimesNewRoman" w:hAnsi="TimesNewRoman" w:eastAsia="仿宋_GB2312" w:cs="TimesNewRoman"/>
          <w:kern w:val="0"/>
          <w:sz w:val="32"/>
          <w:szCs w:val="32"/>
          <w:lang w:val="en-US" w:eastAsia="zh-CN"/>
        </w:rPr>
        <w:t>八是</w:t>
      </w:r>
      <w:r>
        <w:rPr>
          <w:rFonts w:hint="eastAsia" w:ascii="TimesNewRoman" w:hAnsi="TimesNewRoman" w:eastAsia="仿宋_GB2312" w:cs="TimesNewRoman"/>
          <w:kern w:val="0"/>
          <w:sz w:val="32"/>
          <w:szCs w:val="32"/>
        </w:rPr>
        <w:t>通过培训和宣传，提升执法人员工作能力，增强</w:t>
      </w:r>
      <w:r>
        <w:rPr>
          <w:rFonts w:hint="eastAsia" w:ascii="TimesNewRoman" w:hAnsi="TimesNewRoman" w:eastAsia="仿宋_GB2312" w:cs="TimesNewRoman"/>
          <w:kern w:val="0"/>
          <w:sz w:val="32"/>
          <w:szCs w:val="32"/>
          <w:lang w:val="en-US" w:eastAsia="zh-CN"/>
        </w:rPr>
        <w:t>食品药品</w:t>
      </w:r>
      <w:r>
        <w:rPr>
          <w:rFonts w:hint="eastAsia" w:ascii="TimesNewRoman" w:hAnsi="TimesNewRoman" w:eastAsia="仿宋_GB2312" w:cs="TimesNewRoman"/>
          <w:kern w:val="0"/>
          <w:sz w:val="32"/>
          <w:szCs w:val="32"/>
        </w:rPr>
        <w:t>服务单位安全主体责任意识，增强消费者食品安全意识和自我保护意识，规范民生工程食品快速检测行为，发挥食品快检“过滤网”作用，强化我市食品安全监管工作，保障人民群众“舌尖上的安全”。</w:t>
      </w:r>
    </w:p>
    <w:p w14:paraId="0ABA1D59">
      <w:pPr>
        <w:ind w:left="319" w:leftChars="152" w:firstLine="320" w:firstLineChars="100"/>
        <w:rPr>
          <w:rFonts w:hint="eastAsia" w:ascii="仿宋_GB2312" w:eastAsia="仿宋_GB2312"/>
          <w:sz w:val="32"/>
          <w:szCs w:val="32"/>
          <w:lang w:eastAsia="zh-CN"/>
        </w:rPr>
      </w:pPr>
      <w:r>
        <w:rPr>
          <w:rFonts w:hint="eastAsia" w:ascii="TimesNewRoman" w:hAnsi="TimesNewRoman" w:eastAsia="仿宋_GB2312" w:cs="TimesNewRoman"/>
          <w:kern w:val="0"/>
          <w:sz w:val="32"/>
          <w:szCs w:val="32"/>
        </w:rPr>
        <w:t>（2）立项依据。</w:t>
      </w:r>
      <w:r>
        <w:rPr>
          <w:rFonts w:hint="eastAsia" w:ascii="仿宋_GB2312" w:eastAsia="仿宋_GB2312"/>
          <w:sz w:val="32"/>
          <w:szCs w:val="32"/>
        </w:rPr>
        <w:t>淮北市市场监督管理局职能配置、内设机构设置和人员编制规定、《企业信息公示暂行条例》、《企业经营异常名录管理暂行办法》、《市场主体登记管理条例》及其实施细则；2.安徽省人民政府办公厅关于进一步深化商事制度改革促进经济持续健康发展的实施意见（皖政办〔2017〕65号）、安徽省工商行政管理局《关于进一步加强企业电子登记档案管理工作的通知》（皖工商传〔2018〕54号）；3.根据省委组织部、省委非公工委、省市场监管局《关于进一步加强和改进小微企业个体工商户专业市场党建工作的意见》（皖市监个私〔2021〕37号）、《关于在全市非公企业开展“党建益企直通车”活动的实施意见》（淮组字〔2022〕10号）、市委组织部、市委非公工委、市市场监管局联合印发《关于推进外卖送餐行业党建工作的若干举措的通知》；4.根据《财政部 国家发展改革委关于清理规范一批行政事业性收费有关政策的通知》（财税〔2017〕20号）；《计量法》等有关法律法规规章等；《关于进一步加强全省计量器具强制检定工作的通知》（皖市监函〔2020〕149号）等；《安徽省市场监督管理局行政许可技术评审费用管理暂行办法》（皖市监办发〔2019〕22号）；《安徽省市场监督管理局非行政许可类项目评审费用管理暂行办法》（皖市监办发〔2019〕22号）；5.《安徽省专利条例》、《2022年全省知识产权全链条保护工作要点》6.《淮北市电梯安全条例》7.《价格法》、《明码标价和禁止价格欺诈规定》和《安徽省价格监督检查条例》8.《安徽省人民政府办公厅关于印发新形势下加强打击侵犯知识产权和制售假冒伪劣商品工作实施方案的通》知（皖政办〔2017〕51号）9.《中华人民共和国标准化法》、《标准化法实施条例》、《企业产品标准管理规定》（国质检标联（2009）84号）、安徽省实施《中华人民共和国标准化法》办法、《安徽省地方标准管理办法》、《市场监管总局办公厅对印发团体标准、企业标准随机抽查工作指引的通知》（市监标创函[2019]1104号）、安徽省政府目标管理绩效考核质量工作指标任务分解、世界标准日纪念活动等文件。10.《淮北市打击传销举报奖励暂行办法》(淮打传组[2013]5号)、市委政法委、市市场监督管理局、市公安局《关于印发&lt;淮北市打击传销“皖剑-2020”行动方案&gt;的通知》（淮北市监[2020]77号）、《关于开展标准化无传销社区（村）创建工作的通知》，《国务院关于在市场体系建设中建立公平竞争审查制度的意见》《国家市场监管总局关于发布公平竞争审查第三方评估实施指南的公告》《淮北市人民政府关于在市场体系建设中建立公平竞争审查制度的实施意见》；11.《淮北市关于落实深化改革加强食品安全工作的若干措施》（办〔2019〕48号）、《淮北市2022年食品安全重点工作安排》（淮食安委〔2022〕4号）12.《食品安全法》第116条、《食品安全法》第10条、中共安徽省委办公厅 安徽省人民政府办公厅印发关于进一步加强和改进学校安全工作的意见（皖办发〔2022〕16号）、安徽省市场监管局办公室转发市场监管总局办公厅关于加快建设校外供餐单位“互联网+明厨亮灶”可视化监管系统有关事项的通知（皖市监办函〔2022〕569号）。13.《食品安全法》第一百一十六条、《食品安全法》第十条、《安徽省市场监督管理局2021年度食品快检工作评价方案&gt;的通知》（皖食安办函〔2021〕48号）</w:t>
      </w:r>
      <w:r>
        <w:rPr>
          <w:rFonts w:hint="eastAsia" w:ascii="仿宋_GB2312" w:eastAsia="仿宋_GB2312"/>
          <w:sz w:val="32"/>
          <w:szCs w:val="32"/>
          <w:lang w:eastAsia="zh-CN"/>
        </w:rPr>
        <w:t>。</w:t>
      </w:r>
    </w:p>
    <w:p w14:paraId="44B9A377">
      <w:pPr>
        <w:keepNext w:val="0"/>
        <w:keepLines w:val="0"/>
        <w:pageBreakBefore w:val="0"/>
        <w:kinsoku/>
        <w:wordWrap/>
        <w:overflowPunct/>
        <w:autoSpaceDE/>
        <w:autoSpaceDN/>
        <w:bidi w:val="0"/>
        <w:spacing w:beforeAutospacing="0" w:afterAutospacing="0" w:line="520" w:lineRule="exact"/>
        <w:ind w:firstLine="640" w:firstLineChars="200"/>
        <w:textAlignment w:val="auto"/>
        <w:rPr>
          <w:rFonts w:ascii="仿宋_GB2312" w:eastAsia="仿宋_GB2312"/>
          <w:color w:val="000000"/>
          <w:sz w:val="32"/>
          <w:szCs w:val="32"/>
        </w:rPr>
      </w:pPr>
      <w:r>
        <w:rPr>
          <w:rFonts w:hint="eastAsia" w:ascii="TimesNewRoman" w:hAnsi="TimesNewRoman" w:eastAsia="仿宋_GB2312" w:cs="TimesNewRoman"/>
          <w:kern w:val="0"/>
          <w:sz w:val="32"/>
          <w:szCs w:val="32"/>
        </w:rPr>
        <w:t>（3）实施主体。</w:t>
      </w:r>
      <w:r>
        <w:rPr>
          <w:rFonts w:hint="eastAsia" w:ascii="仿宋_GB2312" w:eastAsia="仿宋_GB2312"/>
          <w:color w:val="000000"/>
          <w:sz w:val="32"/>
          <w:szCs w:val="32"/>
        </w:rPr>
        <w:t>市市场监管局</w:t>
      </w:r>
      <w:r>
        <w:rPr>
          <w:rFonts w:hint="eastAsia" w:ascii="仿宋_GB2312" w:eastAsia="仿宋_GB2312"/>
          <w:sz w:val="32"/>
          <w:szCs w:val="32"/>
          <w:lang w:val="en-US" w:eastAsia="zh-CN"/>
        </w:rPr>
        <w:t>登记注册局、</w:t>
      </w:r>
      <w:r>
        <w:rPr>
          <w:rFonts w:hint="eastAsia" w:ascii="仿宋_GB2312" w:eastAsia="仿宋_GB2312"/>
          <w:color w:val="000000"/>
          <w:sz w:val="32"/>
          <w:szCs w:val="32"/>
        </w:rPr>
        <w:t>食品生产安全科、流通科、餐饮科、化妆品科、药品监管科、协调科</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信用科、价检科、知识产权服务科、知识产权保护科、执法稽查科、个私科、双反科、标准化科、计量科、特设科、广告科、网监科、市场科、认证认可科</w:t>
      </w:r>
      <w:r>
        <w:rPr>
          <w:rFonts w:hint="eastAsia" w:ascii="仿宋_GB2312" w:eastAsia="仿宋_GB2312"/>
          <w:color w:val="000000"/>
          <w:sz w:val="32"/>
          <w:szCs w:val="32"/>
        </w:rPr>
        <w:t>。</w:t>
      </w:r>
    </w:p>
    <w:p w14:paraId="403CC3E3">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（4）起止时间。</w:t>
      </w:r>
      <w:r>
        <w:rPr>
          <w:rFonts w:hint="eastAsia" w:ascii="仿宋_GB2312" w:eastAsia="仿宋_GB2312"/>
          <w:color w:val="000000"/>
          <w:sz w:val="32"/>
          <w:szCs w:val="32"/>
        </w:rPr>
        <w:t>202</w:t>
      </w:r>
      <w:r>
        <w:rPr>
          <w:rFonts w:hint="eastAsia" w:ascii="仿宋_GB2312" w:eastAsia="仿宋_GB2312"/>
          <w:color w:val="000000"/>
          <w:sz w:val="32"/>
          <w:szCs w:val="32"/>
          <w:lang w:val="en-US" w:eastAsia="zh-CN"/>
        </w:rPr>
        <w:t>4</w:t>
      </w:r>
      <w:r>
        <w:rPr>
          <w:rFonts w:hint="eastAsia" w:ascii="仿宋_GB2312" w:eastAsia="仿宋_GB2312"/>
          <w:color w:val="000000"/>
          <w:sz w:val="32"/>
          <w:szCs w:val="32"/>
        </w:rPr>
        <w:t>年1月至12月</w:t>
      </w:r>
    </w:p>
    <w:p w14:paraId="189E28F1">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sz w:val="32"/>
          <w:szCs w:val="32"/>
        </w:rPr>
      </w:pPr>
      <w:r>
        <w:rPr>
          <w:rFonts w:hint="eastAsia" w:ascii="TimesNewRoman" w:hAnsi="TimesNewRoman" w:eastAsia="仿宋_GB2312" w:cs="TimesNewRoman"/>
          <w:kern w:val="0"/>
          <w:sz w:val="32"/>
          <w:szCs w:val="32"/>
        </w:rPr>
        <w:t>（5）项目内容。</w:t>
      </w:r>
      <w:r>
        <w:rPr>
          <w:rFonts w:hint="eastAsia" w:ascii="仿宋_GB2312" w:eastAsia="仿宋_GB2312"/>
          <w:color w:val="000000"/>
          <w:sz w:val="32"/>
          <w:szCs w:val="32"/>
        </w:rPr>
        <w:t>该项目经费</w:t>
      </w:r>
      <w:r>
        <w:rPr>
          <w:rFonts w:hint="eastAsia" w:ascii="仿宋_GB2312" w:eastAsia="仿宋_GB2312"/>
          <w:color w:val="000000"/>
          <w:sz w:val="32"/>
          <w:szCs w:val="32"/>
          <w:lang w:val="en-US" w:eastAsia="zh-CN"/>
        </w:rPr>
        <w:t>91</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w:t>
      </w:r>
      <w:r>
        <w:rPr>
          <w:rFonts w:hint="eastAsia" w:ascii="仿宋_GB2312" w:eastAsia="仿宋_GB2312"/>
          <w:color w:val="000000"/>
          <w:sz w:val="32"/>
          <w:szCs w:val="32"/>
        </w:rPr>
        <w:t>涉及</w:t>
      </w:r>
      <w:r>
        <w:rPr>
          <w:rFonts w:hint="eastAsia" w:ascii="仿宋_GB2312" w:eastAsia="仿宋_GB2312"/>
          <w:color w:val="000000"/>
          <w:sz w:val="32"/>
          <w:szCs w:val="32"/>
          <w:lang w:val="en-US" w:eastAsia="zh-CN"/>
        </w:rPr>
        <w:t>21</w:t>
      </w:r>
      <w:r>
        <w:rPr>
          <w:rFonts w:hint="eastAsia" w:ascii="仿宋_GB2312" w:eastAsia="仿宋_GB2312"/>
          <w:color w:val="000000"/>
          <w:sz w:val="32"/>
          <w:szCs w:val="32"/>
        </w:rPr>
        <w:t>个科室</w:t>
      </w:r>
      <w:r>
        <w:rPr>
          <w:rFonts w:hint="eastAsia" w:ascii="仿宋_GB2312" w:eastAsia="仿宋_GB2312"/>
          <w:color w:val="000000"/>
          <w:sz w:val="32"/>
          <w:szCs w:val="32"/>
          <w:lang w:eastAsia="zh-CN"/>
        </w:rPr>
        <w:t>。</w:t>
      </w:r>
      <w:r>
        <w:rPr>
          <w:rFonts w:hint="eastAsia" w:ascii="仿宋_GB2312" w:eastAsia="仿宋_GB2312"/>
          <w:b/>
          <w:bCs/>
          <w:sz w:val="32"/>
          <w:szCs w:val="32"/>
        </w:rPr>
        <w:t>一是企业登记注册及信用监管业务25万</w:t>
      </w:r>
      <w:r>
        <w:rPr>
          <w:rFonts w:hint="eastAsia" w:ascii="仿宋_GB2312" w:eastAsia="仿宋_GB2312"/>
          <w:sz w:val="32"/>
          <w:szCs w:val="32"/>
        </w:rPr>
        <w:t>。</w:t>
      </w:r>
      <w:r>
        <w:rPr>
          <w:rFonts w:hint="eastAsia" w:ascii="仿宋_GB2312" w:eastAsia="仿宋_GB2312"/>
          <w:b/>
          <w:bCs/>
          <w:sz w:val="32"/>
          <w:szCs w:val="32"/>
        </w:rPr>
        <w:t>1.登记注册局9万。</w:t>
      </w:r>
      <w:r>
        <w:rPr>
          <w:rFonts w:hint="eastAsia" w:ascii="仿宋_GB2312" w:eastAsia="仿宋_GB2312"/>
          <w:sz w:val="32"/>
          <w:szCs w:val="32"/>
        </w:rPr>
        <w:t>组织开展市场监管行政许可专家评审，含食品生产许可、药品医疗器械、特种设备等。购买许可文书及许可证，加强窗口文化建设，开展人员培训等。</w:t>
      </w:r>
      <w:r>
        <w:rPr>
          <w:rFonts w:hint="eastAsia" w:ascii="仿宋_GB2312" w:eastAsia="仿宋_GB2312"/>
          <w:b/>
          <w:bCs/>
          <w:sz w:val="32"/>
          <w:szCs w:val="32"/>
        </w:rPr>
        <w:t>2.信用监管科2万。</w:t>
      </w:r>
      <w:r>
        <w:rPr>
          <w:rFonts w:hint="eastAsia" w:ascii="仿宋_GB2312" w:eastAsia="仿宋_GB2312"/>
          <w:sz w:val="32"/>
          <w:szCs w:val="32"/>
        </w:rPr>
        <w:t>对未年报企业分阶段进行提醒、督促短信以及对异常企业发送信用警示和信用修复提醒信息，需支付发送短信、公告，印制宣传资料费用；通过登记窗口发放年报及信用宣传资料费用。</w:t>
      </w:r>
      <w:r>
        <w:rPr>
          <w:rFonts w:hint="eastAsia" w:ascii="仿宋_GB2312" w:eastAsia="仿宋_GB2312"/>
          <w:b/>
          <w:bCs/>
          <w:sz w:val="32"/>
          <w:szCs w:val="32"/>
        </w:rPr>
        <w:t>3.办公室14万。</w:t>
      </w:r>
      <w:r>
        <w:rPr>
          <w:rFonts w:hint="eastAsia" w:ascii="仿宋_GB2312" w:eastAsia="仿宋_GB2312"/>
          <w:sz w:val="32"/>
          <w:szCs w:val="32"/>
        </w:rPr>
        <w:t>办公复印纸、办公用品、耗材、印刷各类会议、考核材料，维修费。</w:t>
      </w:r>
      <w:r>
        <w:rPr>
          <w:rFonts w:hint="eastAsia" w:ascii="仿宋_GB2312" w:eastAsia="仿宋_GB2312"/>
          <w:b/>
          <w:bCs/>
          <w:sz w:val="32"/>
          <w:szCs w:val="32"/>
        </w:rPr>
        <w:t>二是市场监管综合业务43万。1.个私科2万元</w:t>
      </w:r>
      <w:r>
        <w:rPr>
          <w:rFonts w:hint="eastAsia" w:ascii="仿宋_GB2312" w:eastAsia="仿宋_GB2312"/>
          <w:sz w:val="32"/>
          <w:szCs w:val="32"/>
        </w:rPr>
        <w:t>。创建省、市级“小个专”党建工作先进典型，持续打造“三亮”品牌，加强培训、组织开展“党建”宣讲活动，党建示范点现场观摩活动，开展外卖送餐行业党建“促三亮创五优”创建活动、“全国个体工商户服务月”活动。</w:t>
      </w:r>
      <w:r>
        <w:rPr>
          <w:rFonts w:hint="eastAsia" w:ascii="仿宋_GB2312" w:eastAsia="仿宋_GB2312"/>
          <w:b/>
          <w:bCs/>
          <w:sz w:val="32"/>
          <w:szCs w:val="32"/>
          <w:lang w:val="en-US" w:eastAsia="zh-CN"/>
        </w:rPr>
        <w:t>2</w:t>
      </w:r>
      <w:r>
        <w:rPr>
          <w:rFonts w:hint="eastAsia" w:ascii="仿宋_GB2312" w:eastAsia="仿宋_GB2312"/>
          <w:b/>
          <w:bCs/>
          <w:sz w:val="32"/>
          <w:szCs w:val="32"/>
        </w:rPr>
        <w:t>.广告科2万元。</w:t>
      </w:r>
      <w:r>
        <w:rPr>
          <w:rFonts w:hint="eastAsia" w:ascii="仿宋_GB2312" w:eastAsia="仿宋_GB2312"/>
          <w:sz w:val="32"/>
          <w:szCs w:val="32"/>
        </w:rPr>
        <w:t>组织开展广告法律法规的宣传，公益广告作品评选及广告监测。</w:t>
      </w:r>
      <w:r>
        <w:rPr>
          <w:rFonts w:hint="eastAsia" w:ascii="仿宋_GB2312" w:eastAsia="仿宋_GB2312"/>
          <w:b/>
          <w:bCs/>
          <w:sz w:val="32"/>
          <w:szCs w:val="32"/>
          <w:lang w:val="en-US" w:eastAsia="zh-CN"/>
        </w:rPr>
        <w:t>3</w:t>
      </w:r>
      <w:r>
        <w:rPr>
          <w:rFonts w:hint="eastAsia" w:ascii="仿宋_GB2312" w:eastAsia="仿宋_GB2312"/>
          <w:b/>
          <w:bCs/>
          <w:sz w:val="32"/>
          <w:szCs w:val="32"/>
        </w:rPr>
        <w:t>.计量科2万元。</w:t>
      </w:r>
      <w:r>
        <w:rPr>
          <w:rFonts w:hint="eastAsia" w:ascii="仿宋_GB2312" w:eastAsia="仿宋_GB2312"/>
          <w:sz w:val="32"/>
          <w:szCs w:val="32"/>
        </w:rPr>
        <w:t>组织开展计量标准考核、计量授权考核，进行资料审查和现场考核；对重点用能单位开展能源计量审查工作，推进我市节能减排；开展“5.20”世界计量日宣传服务活动、“双随机 一公开”计量抽查及诚信计量示范单位培育工作。</w:t>
      </w:r>
      <w:r>
        <w:rPr>
          <w:rFonts w:hint="eastAsia" w:ascii="仿宋_GB2312" w:eastAsia="仿宋_GB2312"/>
          <w:b/>
          <w:bCs/>
          <w:sz w:val="32"/>
          <w:szCs w:val="32"/>
          <w:lang w:val="en-US" w:eastAsia="zh-CN"/>
        </w:rPr>
        <w:t>4</w:t>
      </w:r>
      <w:r>
        <w:rPr>
          <w:rFonts w:hint="eastAsia" w:ascii="仿宋_GB2312" w:eastAsia="仿宋_GB2312"/>
          <w:b/>
          <w:bCs/>
          <w:sz w:val="32"/>
          <w:szCs w:val="32"/>
        </w:rPr>
        <w:t>.认证认可科2万元。</w:t>
      </w:r>
      <w:r>
        <w:rPr>
          <w:rFonts w:hint="eastAsia" w:ascii="仿宋_GB2312" w:eastAsia="仿宋_GB2312"/>
          <w:sz w:val="32"/>
          <w:szCs w:val="32"/>
        </w:rPr>
        <w:t>开展全市52家检验检测机构资质认定监督检查，抽查30家；管理体系认证专项监督检查，抽查10家，有机产品认证和强制性认证产品（3C）专项监督检查10家。</w:t>
      </w:r>
      <w:r>
        <w:rPr>
          <w:rFonts w:hint="eastAsia" w:ascii="仿宋_GB2312" w:eastAsia="仿宋_GB2312"/>
          <w:b/>
          <w:bCs/>
          <w:sz w:val="32"/>
          <w:szCs w:val="32"/>
          <w:lang w:val="en-US" w:eastAsia="zh-CN"/>
        </w:rPr>
        <w:t>5</w:t>
      </w:r>
      <w:r>
        <w:rPr>
          <w:rFonts w:hint="eastAsia" w:ascii="仿宋_GB2312" w:eastAsia="仿宋_GB2312"/>
          <w:b/>
          <w:bCs/>
          <w:sz w:val="32"/>
          <w:szCs w:val="32"/>
        </w:rPr>
        <w:t>.知识产权工作经费4万元。</w:t>
      </w:r>
      <w:r>
        <w:rPr>
          <w:rFonts w:hint="eastAsia" w:ascii="仿宋_GB2312" w:eastAsia="仿宋_GB2312"/>
          <w:sz w:val="32"/>
          <w:szCs w:val="32"/>
        </w:rPr>
        <w:t>实施知识产权强市战略，全面加强知识产权保护工作，构建“严保护、大保护、快保护、同保护”工作体系，加大案件查处力度，加强《商标法》、《专利法》等法律法规宣传工作。4.26世界知识产权宣传日等特定时间节点，组织开展知识产权宣传活动，组织开展专利导航、知识产权管理规范、知识产权质押融资等专题培训。</w:t>
      </w:r>
      <w:r>
        <w:rPr>
          <w:rFonts w:hint="eastAsia" w:ascii="仿宋_GB2312" w:eastAsia="仿宋_GB2312"/>
          <w:b/>
          <w:bCs/>
          <w:sz w:val="32"/>
          <w:szCs w:val="32"/>
          <w:lang w:val="en-US" w:eastAsia="zh-CN"/>
        </w:rPr>
        <w:t>6</w:t>
      </w:r>
      <w:r>
        <w:rPr>
          <w:rFonts w:hint="eastAsia" w:ascii="仿宋_GB2312" w:eastAsia="仿宋_GB2312"/>
          <w:b/>
          <w:bCs/>
          <w:sz w:val="32"/>
          <w:szCs w:val="32"/>
        </w:rPr>
        <w:t>.特设科2万元。</w:t>
      </w:r>
      <w:r>
        <w:rPr>
          <w:rFonts w:hint="eastAsia" w:ascii="仿宋_GB2312" w:eastAsia="仿宋_GB2312"/>
          <w:sz w:val="32"/>
          <w:szCs w:val="32"/>
        </w:rPr>
        <w:t>为督促电梯维保单位提高维保质量，提升全市电梯安全整体水平，随机抽取全市35家电梯维保单位开展维保质量监督抽查，及时了解各单体维保单位维保质量。</w:t>
      </w:r>
      <w:r>
        <w:rPr>
          <w:rFonts w:hint="eastAsia" w:ascii="仿宋_GB2312" w:eastAsia="仿宋_GB2312"/>
          <w:b/>
          <w:bCs/>
          <w:sz w:val="32"/>
          <w:szCs w:val="32"/>
          <w:lang w:val="en-US" w:eastAsia="zh-CN"/>
        </w:rPr>
        <w:t>7</w:t>
      </w:r>
      <w:r>
        <w:rPr>
          <w:rFonts w:hint="eastAsia" w:ascii="仿宋_GB2312" w:eastAsia="仿宋_GB2312"/>
          <w:b/>
          <w:bCs/>
          <w:sz w:val="32"/>
          <w:szCs w:val="32"/>
        </w:rPr>
        <w:t>.价格科1万。</w:t>
      </w:r>
      <w:r>
        <w:rPr>
          <w:rFonts w:hint="eastAsia" w:ascii="仿宋_GB2312" w:eastAsia="仿宋_GB2312"/>
          <w:sz w:val="32"/>
          <w:szCs w:val="32"/>
        </w:rPr>
        <w:t>开展价格政策宣讲、加强价格执法监督检查，强化经营者价格自律，增强诚信守法意识。</w:t>
      </w:r>
      <w:r>
        <w:rPr>
          <w:rFonts w:hint="eastAsia" w:ascii="仿宋_GB2312" w:eastAsia="仿宋_GB2312"/>
          <w:b/>
          <w:bCs/>
          <w:sz w:val="32"/>
          <w:szCs w:val="32"/>
          <w:lang w:val="en-US" w:eastAsia="zh-CN"/>
        </w:rPr>
        <w:t>8</w:t>
      </w:r>
      <w:r>
        <w:rPr>
          <w:rFonts w:hint="eastAsia" w:ascii="仿宋_GB2312" w:eastAsia="仿宋_GB2312"/>
          <w:b/>
          <w:bCs/>
          <w:sz w:val="32"/>
          <w:szCs w:val="32"/>
        </w:rPr>
        <w:t>.执法稽查科2万元。</w:t>
      </w:r>
      <w:r>
        <w:rPr>
          <w:rFonts w:hint="eastAsia" w:ascii="仿宋_GB2312" w:eastAsia="仿宋_GB2312"/>
          <w:sz w:val="32"/>
          <w:szCs w:val="32"/>
        </w:rPr>
        <w:t>承办全市打击侵权假冒工作会议，研究部署、持续开展打击侵权假冒工作。委托有无害化销毁资质的单位销毁侵权假冒商品，持续开展打击侵权假冒工作宣传培训活动。</w:t>
      </w:r>
      <w:r>
        <w:rPr>
          <w:rFonts w:hint="eastAsia" w:ascii="仿宋_GB2312" w:eastAsia="仿宋_GB2312"/>
          <w:b/>
          <w:bCs/>
          <w:sz w:val="32"/>
          <w:szCs w:val="32"/>
          <w:lang w:val="en-US" w:eastAsia="zh-CN"/>
        </w:rPr>
        <w:t>9</w:t>
      </w:r>
      <w:r>
        <w:rPr>
          <w:rFonts w:hint="eastAsia" w:ascii="仿宋_GB2312" w:eastAsia="仿宋_GB2312"/>
          <w:b/>
          <w:bCs/>
          <w:sz w:val="32"/>
          <w:szCs w:val="32"/>
        </w:rPr>
        <w:t>.双反科2万元。</w:t>
      </w:r>
      <w:r>
        <w:rPr>
          <w:rFonts w:hint="eastAsia" w:ascii="仿宋_GB2312" w:eastAsia="仿宋_GB2312"/>
          <w:sz w:val="32"/>
          <w:szCs w:val="32"/>
        </w:rPr>
        <w:t>开展传销宣传进校园活动、打击传销宣传专项行动；开展《反垄断法》《反不正当竞争法》《禁止传销条例》《直销管理条例》及新修订的《公平竞争审查制度实施细则》等进行普法宣传。1</w:t>
      </w:r>
      <w:r>
        <w:rPr>
          <w:rFonts w:hint="eastAsia" w:ascii="仿宋_GB2312" w:eastAsia="仿宋_GB2312"/>
          <w:b/>
          <w:bCs/>
          <w:sz w:val="32"/>
          <w:szCs w:val="32"/>
          <w:lang w:val="en-US" w:eastAsia="zh-CN"/>
        </w:rPr>
        <w:t>0</w:t>
      </w:r>
      <w:r>
        <w:rPr>
          <w:rFonts w:hint="eastAsia" w:ascii="仿宋_GB2312" w:eastAsia="仿宋_GB2312"/>
          <w:b/>
          <w:bCs/>
          <w:sz w:val="32"/>
          <w:szCs w:val="32"/>
        </w:rPr>
        <w:t>.标准化科2万元。</w:t>
      </w:r>
      <w:r>
        <w:rPr>
          <w:rFonts w:hint="eastAsia" w:ascii="仿宋_GB2312" w:eastAsia="仿宋_GB2312"/>
          <w:sz w:val="32"/>
          <w:szCs w:val="32"/>
        </w:rPr>
        <w:t>开展企业标准和团体标准随机抽查、地方标准制修定审核、标准化试点验收、标准总监培训及宣传工作。</w:t>
      </w:r>
      <w:r>
        <w:rPr>
          <w:rFonts w:hint="eastAsia" w:ascii="仿宋_GB2312" w:eastAsia="仿宋_GB2312"/>
          <w:b/>
          <w:bCs/>
          <w:sz w:val="32"/>
          <w:szCs w:val="32"/>
        </w:rPr>
        <w:t>1</w:t>
      </w:r>
      <w:r>
        <w:rPr>
          <w:rFonts w:hint="eastAsia" w:ascii="仿宋_GB2312" w:eastAsia="仿宋_GB2312"/>
          <w:b/>
          <w:bCs/>
          <w:sz w:val="32"/>
          <w:szCs w:val="32"/>
          <w:lang w:val="en-US" w:eastAsia="zh-CN"/>
        </w:rPr>
        <w:t>1</w:t>
      </w:r>
      <w:r>
        <w:rPr>
          <w:rFonts w:hint="eastAsia" w:ascii="仿宋_GB2312" w:eastAsia="仿宋_GB2312"/>
          <w:b/>
          <w:bCs/>
          <w:sz w:val="32"/>
          <w:szCs w:val="32"/>
        </w:rPr>
        <w:t>.是质量发展科7万</w:t>
      </w:r>
      <w:r>
        <w:rPr>
          <w:rFonts w:hint="eastAsia" w:ascii="仿宋_GB2312" w:eastAsia="仿宋_GB2312"/>
          <w:b/>
          <w:bCs/>
          <w:sz w:val="32"/>
          <w:szCs w:val="32"/>
          <w:lang w:eastAsia="zh-CN"/>
        </w:rPr>
        <w:t>。</w:t>
      </w:r>
      <w:r>
        <w:rPr>
          <w:rFonts w:hint="eastAsia" w:ascii="仿宋_GB2312" w:eastAsia="仿宋_GB2312"/>
          <w:sz w:val="32"/>
          <w:szCs w:val="32"/>
        </w:rPr>
        <w:t>开展质量品牌培育培训、缺陷产品召回专家评审费宣传费，政府质量奖评审及实施效果评估，开展全市公共服务满意度调查。</w:t>
      </w:r>
      <w:r>
        <w:rPr>
          <w:rFonts w:hint="eastAsia" w:ascii="仿宋_GB2312" w:eastAsia="仿宋_GB2312"/>
          <w:b/>
          <w:bCs/>
          <w:sz w:val="32"/>
          <w:szCs w:val="32"/>
        </w:rPr>
        <w:t>1</w:t>
      </w:r>
      <w:r>
        <w:rPr>
          <w:rFonts w:hint="eastAsia" w:ascii="仿宋_GB2312" w:eastAsia="仿宋_GB2312"/>
          <w:b/>
          <w:bCs/>
          <w:sz w:val="32"/>
          <w:szCs w:val="32"/>
          <w:lang w:val="en-US" w:eastAsia="zh-CN"/>
        </w:rPr>
        <w:t>2</w:t>
      </w:r>
      <w:r>
        <w:rPr>
          <w:rFonts w:hint="eastAsia" w:ascii="仿宋_GB2312" w:eastAsia="仿宋_GB2312"/>
          <w:b/>
          <w:bCs/>
          <w:sz w:val="32"/>
          <w:szCs w:val="32"/>
        </w:rPr>
        <w:t>.是综合科8万</w:t>
      </w:r>
      <w:r>
        <w:rPr>
          <w:rFonts w:hint="eastAsia" w:ascii="仿宋_GB2312" w:eastAsia="仿宋_GB2312"/>
          <w:b/>
          <w:bCs/>
          <w:sz w:val="32"/>
          <w:szCs w:val="32"/>
          <w:lang w:eastAsia="zh-CN"/>
        </w:rPr>
        <w:t>。</w:t>
      </w:r>
      <w:r>
        <w:rPr>
          <w:rFonts w:hint="eastAsia" w:ascii="仿宋_GB2312" w:eastAsia="仿宋_GB2312"/>
          <w:sz w:val="32"/>
          <w:szCs w:val="32"/>
        </w:rPr>
        <w:t>借助传统媒体和新型媒体的立体传播平台，运用灵活多样的宣传形式，全面反映市场监管系统工作，实现矩阵传播效果，依托《淮北日报》、电视台等媒体开办《市场监管》专版专栏，播出药品等公益广告。</w:t>
      </w:r>
      <w:r>
        <w:rPr>
          <w:rFonts w:hint="eastAsia" w:ascii="仿宋_GB2312" w:eastAsia="仿宋_GB2312"/>
          <w:b/>
          <w:bCs/>
          <w:sz w:val="32"/>
          <w:szCs w:val="32"/>
        </w:rPr>
        <w:t>1</w:t>
      </w:r>
      <w:r>
        <w:rPr>
          <w:rFonts w:hint="eastAsia" w:ascii="仿宋_GB2312" w:eastAsia="仿宋_GB2312"/>
          <w:b/>
          <w:bCs/>
          <w:sz w:val="32"/>
          <w:szCs w:val="32"/>
          <w:lang w:val="en-US" w:eastAsia="zh-CN"/>
        </w:rPr>
        <w:t>3</w:t>
      </w:r>
      <w:r>
        <w:rPr>
          <w:rFonts w:hint="eastAsia" w:ascii="仿宋_GB2312" w:eastAsia="仿宋_GB2312"/>
          <w:b/>
          <w:bCs/>
          <w:sz w:val="32"/>
          <w:szCs w:val="32"/>
        </w:rPr>
        <w:t>.是人教科7万</w:t>
      </w:r>
      <w:r>
        <w:rPr>
          <w:rFonts w:hint="eastAsia" w:ascii="仿宋_GB2312" w:eastAsia="仿宋_GB2312"/>
          <w:b/>
          <w:bCs/>
          <w:sz w:val="32"/>
          <w:szCs w:val="32"/>
          <w:lang w:eastAsia="zh-CN"/>
        </w:rPr>
        <w:t>。</w:t>
      </w:r>
      <w:r>
        <w:rPr>
          <w:rFonts w:hint="eastAsia" w:ascii="仿宋_GB2312" w:eastAsia="仿宋_GB2312"/>
          <w:sz w:val="32"/>
          <w:szCs w:val="32"/>
        </w:rPr>
        <w:t>开展市场监管所所长专题培训班。</w:t>
      </w:r>
      <w:r>
        <w:rPr>
          <w:rFonts w:hint="eastAsia" w:ascii="仿宋_GB2312" w:eastAsia="仿宋_GB2312"/>
          <w:b/>
          <w:bCs/>
          <w:sz w:val="32"/>
          <w:szCs w:val="32"/>
        </w:rPr>
        <w:t>三是食品药品安全监管经费23万。1.食品生产科2万元。</w:t>
      </w:r>
      <w:r>
        <w:rPr>
          <w:rFonts w:hint="eastAsia" w:ascii="仿宋_GB2312" w:eastAsia="仿宋_GB2312"/>
          <w:sz w:val="32"/>
          <w:szCs w:val="32"/>
        </w:rPr>
        <w:t>对我市在产食品生产企业约30家企业进行监督检查。</w:t>
      </w:r>
      <w:r>
        <w:rPr>
          <w:rFonts w:hint="eastAsia" w:ascii="仿宋_GB2312" w:eastAsia="仿宋_GB2312"/>
          <w:b/>
          <w:bCs/>
          <w:sz w:val="32"/>
          <w:szCs w:val="32"/>
          <w:lang w:val="en-US" w:eastAsia="zh-CN"/>
        </w:rPr>
        <w:t>2</w:t>
      </w:r>
      <w:r>
        <w:rPr>
          <w:rFonts w:hint="eastAsia" w:ascii="仿宋_GB2312" w:eastAsia="仿宋_GB2312"/>
          <w:b/>
          <w:bCs/>
          <w:sz w:val="32"/>
          <w:szCs w:val="32"/>
        </w:rPr>
        <w:t>.食品流通科3万元。</w:t>
      </w:r>
      <w:r>
        <w:rPr>
          <w:rFonts w:hint="eastAsia" w:ascii="仿宋_GB2312" w:eastAsia="仿宋_GB2312"/>
          <w:sz w:val="32"/>
          <w:szCs w:val="32"/>
        </w:rPr>
        <w:t>对执法人员开展食品安全法律、法规、标准和专业知识与执法能力等的培训；按照市局普法宣传计划，结合315、食品安全宣传、质量宣传月和宪法宣传日等，开展普法宣传“五进”活动；邀请第三方对全市大中型食品流通企业开展体系检查。</w:t>
      </w:r>
      <w:r>
        <w:rPr>
          <w:rFonts w:hint="eastAsia" w:ascii="仿宋_GB2312" w:eastAsia="仿宋_GB2312"/>
          <w:b/>
          <w:bCs/>
          <w:sz w:val="32"/>
          <w:szCs w:val="32"/>
          <w:lang w:val="en-US" w:eastAsia="zh-CN"/>
        </w:rPr>
        <w:t>3</w:t>
      </w:r>
      <w:r>
        <w:rPr>
          <w:rFonts w:hint="eastAsia" w:ascii="仿宋_GB2312" w:eastAsia="仿宋_GB2312"/>
          <w:b/>
          <w:bCs/>
          <w:sz w:val="32"/>
          <w:szCs w:val="32"/>
        </w:rPr>
        <w:t>.餐饮科5万元。</w:t>
      </w:r>
      <w:r>
        <w:rPr>
          <w:rFonts w:hint="eastAsia" w:ascii="仿宋_GB2312" w:eastAsia="仿宋_GB2312"/>
          <w:sz w:val="32"/>
          <w:szCs w:val="32"/>
        </w:rPr>
        <w:t>加强食品安全培训、宣传教育，落实校园食品安全监管责任，进一步加强和改进学校安全工作，拟分春秋季开学2期对全市校园负责人、专职食品安全管理培训考核，餐饮安全检测仪器（餐饮具细菌检测仪）2个。</w:t>
      </w:r>
      <w:r>
        <w:rPr>
          <w:rFonts w:hint="eastAsia" w:ascii="仿宋_GB2312" w:eastAsia="仿宋_GB2312"/>
          <w:b/>
          <w:bCs/>
          <w:sz w:val="32"/>
          <w:szCs w:val="32"/>
          <w:lang w:val="en-US" w:eastAsia="zh-CN"/>
        </w:rPr>
        <w:t>4</w:t>
      </w:r>
      <w:r>
        <w:rPr>
          <w:rFonts w:hint="eastAsia" w:ascii="仿宋_GB2312" w:eastAsia="仿宋_GB2312"/>
          <w:b/>
          <w:bCs/>
          <w:sz w:val="32"/>
          <w:szCs w:val="32"/>
        </w:rPr>
        <w:t>.中药化妆品科1万元。</w:t>
      </w:r>
      <w:r>
        <w:rPr>
          <w:rFonts w:hint="eastAsia" w:ascii="仿宋_GB2312" w:eastAsia="仿宋_GB2312"/>
          <w:sz w:val="32"/>
          <w:szCs w:val="32"/>
        </w:rPr>
        <w:t>主要用于宣传培训。</w:t>
      </w:r>
      <w:r>
        <w:rPr>
          <w:rFonts w:hint="eastAsia" w:ascii="仿宋_GB2312" w:eastAsia="仿宋_GB2312"/>
          <w:b/>
          <w:bCs/>
          <w:sz w:val="32"/>
          <w:szCs w:val="32"/>
          <w:lang w:val="en-US" w:eastAsia="zh-CN"/>
        </w:rPr>
        <w:t>5</w:t>
      </w:r>
      <w:r>
        <w:rPr>
          <w:rFonts w:hint="eastAsia" w:ascii="仿宋_GB2312" w:eastAsia="仿宋_GB2312"/>
          <w:b/>
          <w:bCs/>
          <w:sz w:val="32"/>
          <w:szCs w:val="32"/>
        </w:rPr>
        <w:t>.药品监管科7万元。</w:t>
      </w:r>
      <w:r>
        <w:rPr>
          <w:rFonts w:hint="eastAsia" w:ascii="仿宋_GB2312" w:eastAsia="仿宋_GB2312"/>
          <w:sz w:val="32"/>
          <w:szCs w:val="32"/>
        </w:rPr>
        <w:t>组织开展各类药品专项整治活动，对辖区内市级疾病预防控制机构、6家连锁总部、三区二级以上（含二级）医疗机构进行监督检查，对县区零售药店开展督查/飞行检查；10月份左右组织开展“安全用药月”宣传活动。组织医疗机构和药品零售连锁企业，深入街道社区和定点帮扶村，制作公益广告视频、印刷发放科普资料、鉴别药品真伪、邀请专家进行义诊咨询和安全用药知识讲座授课等，向公众普及安全用药知识；针对三区一县系统监管人员和全市药品经营企业、使用单位相关人员举办培法律法规训班，开展应急演练。</w:t>
      </w:r>
      <w:r>
        <w:rPr>
          <w:rFonts w:hint="eastAsia" w:ascii="仿宋_GB2312" w:eastAsia="仿宋_GB2312"/>
          <w:b/>
          <w:bCs/>
          <w:sz w:val="32"/>
          <w:szCs w:val="32"/>
          <w:lang w:val="en-US" w:eastAsia="zh-CN"/>
        </w:rPr>
        <w:t>6</w:t>
      </w:r>
      <w:r>
        <w:rPr>
          <w:rFonts w:hint="eastAsia" w:ascii="仿宋_GB2312" w:eastAsia="仿宋_GB2312"/>
          <w:b/>
          <w:bCs/>
          <w:sz w:val="32"/>
          <w:szCs w:val="32"/>
        </w:rPr>
        <w:t>.食品药品安全协调科3万元。</w:t>
      </w:r>
      <w:r>
        <w:rPr>
          <w:rFonts w:hint="eastAsia" w:ascii="仿宋_GB2312" w:eastAsia="仿宋_GB2312"/>
          <w:sz w:val="32"/>
          <w:szCs w:val="32"/>
        </w:rPr>
        <w:t>承担市食品安全委员会日常工作，进一步强化各级食品安全委员会及其办公室的统筹协调作用，开展食品药品安全督查督办、评议考核，开展食品安全宣传周、食品安全示范县创建，开展食品安全专项整治行动、迎接各类督查检查。</w:t>
      </w:r>
      <w:r>
        <w:rPr>
          <w:rFonts w:hint="eastAsia" w:ascii="仿宋_GB2312" w:eastAsia="仿宋_GB2312"/>
          <w:b/>
          <w:bCs/>
          <w:sz w:val="32"/>
          <w:szCs w:val="32"/>
          <w:lang w:val="en-US" w:eastAsia="zh-CN"/>
        </w:rPr>
        <w:t>7</w:t>
      </w:r>
      <w:r>
        <w:rPr>
          <w:rFonts w:hint="eastAsia" w:ascii="仿宋_GB2312" w:eastAsia="仿宋_GB2312"/>
          <w:b/>
          <w:bCs/>
          <w:sz w:val="32"/>
          <w:szCs w:val="32"/>
        </w:rPr>
        <w:t>.医疗器械科2万元。</w:t>
      </w:r>
      <w:r>
        <w:rPr>
          <w:rFonts w:hint="eastAsia" w:ascii="仿宋_GB2312" w:eastAsia="仿宋_GB2312"/>
          <w:sz w:val="32"/>
          <w:szCs w:val="32"/>
        </w:rPr>
        <w:t>利用 “3.15”、安全用药月等活动开展医疗器械法规的宣教；组织全市医疗器械执法人员和从业人员法规培训；开展日常检查、专项整治同时完成医疗器械国、省抽样任务。</w:t>
      </w:r>
    </w:p>
    <w:p w14:paraId="79527803">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91</w:t>
      </w:r>
      <w:r>
        <w:rPr>
          <w:rFonts w:hint="eastAsia" w:ascii="仿宋_GB2312" w:hAnsi="仿宋" w:eastAsia="仿宋_GB2312"/>
          <w:sz w:val="32"/>
          <w:szCs w:val="32"/>
        </w:rPr>
        <w:t>万元</w:t>
      </w:r>
    </w:p>
    <w:p w14:paraId="6C9926F9">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color w:val="auto"/>
          <w:kern w:val="0"/>
          <w:sz w:val="32"/>
          <w:szCs w:val="32"/>
        </w:rPr>
        <w:t>（7）绩效目标。</w:t>
      </w:r>
      <w:r>
        <w:rPr>
          <w:rFonts w:hint="eastAsia" w:ascii="TimesNewRoman" w:hAnsi="TimesNewRoman" w:eastAsia="仿宋_GB2312" w:cs="TimesNewRoman"/>
          <w:kern w:val="0"/>
          <w:sz w:val="32"/>
          <w:szCs w:val="32"/>
        </w:rPr>
        <w:t>以“双随机一公开”为重点，深入推进事中事后监管；以知识产权保护、运用、创造为重点，推进技术创新，实现知识产权量质双升；抓好食品、药品、特种设备监管。推行“互联网＋智慧”监管，不断推进“三大安全”治理体系和治理能力现代化，“三大安全”形势持续稳定，全年未发生安全事故。标准化战略、加强社会公用计量标准建设和认证认可工作，突出抓好技术机构建设，提升保障安全服务发展能力，紧紧围绕关系国计民生价格、网络销售、广告宣传、公平竞争等四大领域开展专项执法，着力营造公平有序的市场秩序 ，坚持高质量发展，全面推进质量强市建设。</w:t>
      </w:r>
    </w:p>
    <w:p w14:paraId="268F0376">
      <w:pPr>
        <w:ind w:firstLine="640" w:firstLineChars="200"/>
        <w:rPr>
          <w:rFonts w:hint="eastAsia" w:ascii="TimesNewRoman" w:hAnsi="TimesNewRoman" w:eastAsia="仿宋_GB2312" w:cs="TimesNewRoman"/>
          <w:kern w:val="0"/>
          <w:sz w:val="32"/>
          <w:szCs w:val="32"/>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见附件7）</w:t>
      </w:r>
    </w:p>
    <w:p w14:paraId="4BEC1C27">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2</w:t>
      </w:r>
      <w:r>
        <w:rPr>
          <w:rFonts w:hint="eastAsia" w:ascii="TimesNewRoman" w:hAnsi="TimesNewRoman" w:eastAsia="仿宋_GB2312" w:cs="TimesNewRoman"/>
          <w:kern w:val="0"/>
          <w:sz w:val="32"/>
          <w:szCs w:val="32"/>
        </w:rPr>
        <w:t>、“</w:t>
      </w:r>
      <w:r>
        <w:rPr>
          <w:rFonts w:hint="eastAsia" w:ascii="仿宋_GB2312" w:eastAsia="仿宋_GB2312"/>
          <w:sz w:val="32"/>
          <w:szCs w:val="32"/>
        </w:rPr>
        <w:t>食品安全监督抽</w:t>
      </w:r>
      <w:r>
        <w:rPr>
          <w:rFonts w:hint="eastAsia" w:ascii="仿宋_GB2312" w:eastAsia="仿宋_GB2312"/>
          <w:sz w:val="32"/>
          <w:szCs w:val="32"/>
          <w:lang w:val="en-US" w:eastAsia="zh-CN"/>
        </w:rPr>
        <w:t>检</w:t>
      </w:r>
      <w:r>
        <w:rPr>
          <w:rFonts w:hint="eastAsia" w:ascii="TimesNewRoman" w:hAnsi="TimesNewRoman" w:eastAsia="仿宋_GB2312" w:cs="TimesNewRoman"/>
          <w:kern w:val="0"/>
          <w:sz w:val="32"/>
          <w:szCs w:val="32"/>
        </w:rPr>
        <w:t>”项目。</w:t>
      </w:r>
    </w:p>
    <w:p w14:paraId="22F01D7E">
      <w:pPr>
        <w:ind w:firstLine="640" w:firstLineChars="200"/>
        <w:rPr>
          <w:rFonts w:hint="eastAsia" w:ascii="仿宋_GB2312" w:hAnsi="Times New Roman" w:eastAsia="仿宋_GB2312" w:cs="Times New Roman"/>
          <w:sz w:val="32"/>
          <w:szCs w:val="32"/>
        </w:rPr>
      </w:pPr>
      <w:r>
        <w:rPr>
          <w:rFonts w:hint="eastAsia" w:ascii="TimesNewRoman" w:hAnsi="TimesNewRoman" w:eastAsia="仿宋_GB2312" w:cs="TimesNewRoman"/>
          <w:kern w:val="0"/>
          <w:sz w:val="32"/>
          <w:szCs w:val="32"/>
        </w:rPr>
        <w:t>（1）项目概述。</w:t>
      </w:r>
      <w:r>
        <w:rPr>
          <w:rFonts w:hint="eastAsia" w:ascii="仿宋_GB2312" w:hAnsi="Times New Roman" w:eastAsia="仿宋_GB2312" w:cs="Times New Roman"/>
          <w:sz w:val="32"/>
          <w:szCs w:val="32"/>
        </w:rPr>
        <w:t>市场监管部门依法开展从农田到餐桌全链条，覆盖食品生产、流通和消费环节食品安全抽检检测工作。食品安全抽检检测是实施食品安全监管的重要手段，是全面掌握食品安全形势和质量安全状况的重要措施，也是发现食品安全问题和查办食品违法案件的重要技术支撑。通过规范高质量的抽检检测，及时有效地发现消除食品安全隐患，为我市食品安全高效监管提供精准靶向的技术支撑，确保人民群众“舌尖上”安全。</w:t>
      </w:r>
    </w:p>
    <w:p w14:paraId="1E841D83">
      <w:pPr>
        <w:ind w:firstLine="640" w:firstLineChars="200"/>
        <w:rPr>
          <w:rFonts w:hint="eastAsia" w:ascii="仿宋_GB2312" w:eastAsia="仿宋_GB2312"/>
          <w:sz w:val="32"/>
          <w:szCs w:val="32"/>
        </w:rPr>
      </w:pPr>
      <w:r>
        <w:rPr>
          <w:rFonts w:hint="eastAsia" w:ascii="TimesNewRoman" w:hAnsi="TimesNewRoman" w:eastAsia="仿宋_GB2312" w:cs="TimesNewRoman"/>
          <w:kern w:val="0"/>
          <w:sz w:val="32"/>
          <w:szCs w:val="32"/>
        </w:rPr>
        <w:t>（2）立项依据。</w:t>
      </w:r>
      <w:r>
        <w:rPr>
          <w:rFonts w:hint="eastAsia" w:ascii="仿宋_GB2312" w:eastAsia="仿宋_GB2312"/>
          <w:sz w:val="32"/>
          <w:szCs w:val="32"/>
        </w:rPr>
        <w:t>《中华人民共和国食品安全法》第八条、第八十七条规定、《食品安全抽样检验管理办法》国家市场监督管理总局令第15号令、省市场局关于印发《2023年全省食品安全监督抽检计划的通知》（皖市监函[2023]96号）以及省政府年度对市政府食品安全考核涉及到食品抽检检测工作的批次数、不合格率、不合格食品核查处置、信息公示、“你点我检”民生工程等指标。</w:t>
      </w:r>
    </w:p>
    <w:p w14:paraId="6BAF7865">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（3）实施主体。</w:t>
      </w:r>
      <w:r>
        <w:rPr>
          <w:rFonts w:hint="eastAsia" w:ascii="TimesNewRoman" w:hAnsi="TimesNewRoman" w:eastAsia="仿宋_GB2312" w:cs="TimesNewRoman"/>
          <w:kern w:val="0"/>
          <w:sz w:val="32"/>
          <w:szCs w:val="32"/>
          <w:lang w:val="en-US" w:eastAsia="zh-CN"/>
        </w:rPr>
        <w:t>淮北市市场监督管理局食品药品抽检科</w:t>
      </w:r>
    </w:p>
    <w:p w14:paraId="17CFB177">
      <w:pPr>
        <w:ind w:firstLine="640" w:firstLineChars="200"/>
        <w:rPr>
          <w:rFonts w:hint="eastAsia" w:ascii="仿宋_GB2312" w:eastAsia="仿宋_GB2312"/>
          <w:color w:val="000000"/>
          <w:sz w:val="32"/>
          <w:szCs w:val="32"/>
        </w:rPr>
      </w:pPr>
      <w:r>
        <w:rPr>
          <w:rFonts w:hint="eastAsia" w:ascii="TimesNewRoman" w:hAnsi="TimesNewRoman" w:eastAsia="仿宋_GB2312" w:cs="TimesNewRoman"/>
          <w:kern w:val="0"/>
          <w:sz w:val="32"/>
          <w:szCs w:val="32"/>
        </w:rPr>
        <w:t>（4）起止时间。</w:t>
      </w:r>
      <w:r>
        <w:rPr>
          <w:rFonts w:hint="eastAsia" w:ascii="仿宋_GB2312" w:eastAsia="仿宋_GB2312"/>
          <w:color w:val="000000"/>
          <w:sz w:val="32"/>
          <w:szCs w:val="32"/>
        </w:rPr>
        <w:t>202</w:t>
      </w:r>
      <w:r>
        <w:rPr>
          <w:rFonts w:hint="eastAsia" w:ascii="仿宋_GB2312" w:eastAsia="仿宋_GB2312"/>
          <w:color w:val="000000"/>
          <w:sz w:val="32"/>
          <w:szCs w:val="32"/>
          <w:lang w:val="en-US" w:eastAsia="zh-CN"/>
        </w:rPr>
        <w:t>4</w:t>
      </w:r>
      <w:r>
        <w:rPr>
          <w:rFonts w:hint="eastAsia" w:ascii="仿宋_GB2312" w:eastAsia="仿宋_GB2312"/>
          <w:color w:val="000000"/>
          <w:sz w:val="32"/>
          <w:szCs w:val="32"/>
        </w:rPr>
        <w:t>年1月至12月</w:t>
      </w:r>
    </w:p>
    <w:p w14:paraId="7AB544AD">
      <w:pPr>
        <w:ind w:firstLine="640" w:firstLineChars="200"/>
        <w:rPr>
          <w:rFonts w:hint="eastAsia" w:ascii="仿宋_GB2312" w:hAnsi="Times New Roman" w:eastAsia="仿宋_GB2312" w:cs="Times New Roman"/>
          <w:sz w:val="32"/>
          <w:szCs w:val="32"/>
        </w:rPr>
      </w:pPr>
      <w:r>
        <w:rPr>
          <w:rFonts w:hint="eastAsia" w:ascii="TimesNewRoman" w:hAnsi="TimesNewRoman" w:eastAsia="仿宋_GB2312" w:cs="TimesNewRoman"/>
          <w:kern w:val="0"/>
          <w:sz w:val="32"/>
          <w:szCs w:val="32"/>
        </w:rPr>
        <w:t>（5）项目内容。</w:t>
      </w:r>
      <w:r>
        <w:rPr>
          <w:rFonts w:hint="eastAsia" w:ascii="仿宋_GB2312" w:hAnsi="Times New Roman" w:eastAsia="仿宋_GB2312" w:cs="Times New Roman"/>
          <w:sz w:val="32"/>
          <w:szCs w:val="32"/>
        </w:rPr>
        <w:t>参照2023年省局下达的全省食品安全监督抽检计划（皖市监函[2023]96号）下达的目标任务，制订2024年市本级食品安全监督抽检项目经费预算。食品日常监督抽检计划2700批次，食用农产品监督抽检计划1700批次，专项整治抽检计划1200批次</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 xml:space="preserve">                                          项目所需经费包括购样费、检验费、人工费、设备费、交通费、管理费、利润、税金以及验收等全部费用。</w:t>
      </w:r>
    </w:p>
    <w:p w14:paraId="2870430A">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196.03</w:t>
      </w:r>
      <w:r>
        <w:rPr>
          <w:rFonts w:hint="eastAsia" w:ascii="仿宋_GB2312" w:hAnsi="仿宋" w:eastAsia="仿宋_GB2312"/>
          <w:sz w:val="32"/>
          <w:szCs w:val="32"/>
        </w:rPr>
        <w:t>万元</w:t>
      </w:r>
    </w:p>
    <w:p w14:paraId="39556C3A">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（7）绩效目标。以问题为导向，从解决人民群众普遍关心的突出问题入手，聚焦大宗消费和高风险食品品种，围绕涉及人民群众身体健康的安全性指标，以及食品安全突出问题开展监督抽检。</w:t>
      </w:r>
      <w:r>
        <w:rPr>
          <w:rFonts w:hint="eastAsia" w:ascii="TimesNewRoman" w:hAnsi="TimesNewRoman" w:eastAsia="仿宋_GB2312" w:cs="TimesNewRoman"/>
          <w:kern w:val="0"/>
          <w:sz w:val="32"/>
          <w:szCs w:val="32"/>
        </w:rPr>
        <w:tab/>
      </w:r>
    </w:p>
    <w:p w14:paraId="77492C9C">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67A10042">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w:t>
      </w:r>
      <w:r>
        <w:rPr>
          <w:rFonts w:hint="eastAsia" w:ascii="仿宋_GB2312" w:eastAsia="仿宋_GB2312"/>
          <w:sz w:val="32"/>
          <w:szCs w:val="32"/>
        </w:rPr>
        <w:t>登记注册服务经费</w:t>
      </w:r>
      <w:r>
        <w:rPr>
          <w:rFonts w:hint="eastAsia" w:ascii="TimesNewRoman" w:hAnsi="TimesNewRoman" w:eastAsia="仿宋_GB2312" w:cs="TimesNewRoman"/>
          <w:kern w:val="0"/>
          <w:sz w:val="32"/>
          <w:szCs w:val="32"/>
        </w:rPr>
        <w:t>”项目。</w:t>
      </w:r>
    </w:p>
    <w:p w14:paraId="0745ABD8">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（1）项目概述。为更好的服务办事群众，包括企业设立登记、公章刻制申请、发票申领、社保登记、医保登记、公积金缴存登记、银行预约开户等，开发企业开办系统移动端</w:t>
      </w:r>
      <w:r>
        <w:rPr>
          <w:rFonts w:hint="eastAsia" w:ascii="TimesNewRoman" w:hAnsi="TimesNewRoman" w:eastAsia="仿宋_GB2312" w:cs="TimesNewRoman"/>
          <w:kern w:val="0"/>
          <w:sz w:val="32"/>
          <w:szCs w:val="32"/>
          <w:lang w:val="en-US" w:eastAsia="zh-CN"/>
        </w:rPr>
        <w:t>；</w:t>
      </w:r>
      <w:r>
        <w:rPr>
          <w:rFonts w:hint="eastAsia" w:ascii="TimesNewRoman" w:hAnsi="TimesNewRoman" w:eastAsia="仿宋_GB2312" w:cs="TimesNewRoman"/>
          <w:kern w:val="0"/>
          <w:sz w:val="32"/>
          <w:szCs w:val="32"/>
        </w:rPr>
        <w:t>以皖事通为载体，“皖信签”为基础，开展企业电子印章（企业公章、财务章、发票章、法人章、合同章）的申请、发放以及应用工作</w:t>
      </w:r>
      <w:r>
        <w:rPr>
          <w:rFonts w:hint="eastAsia" w:ascii="TimesNewRoman" w:hAnsi="TimesNewRoman" w:eastAsia="仿宋_GB2312" w:cs="TimesNewRoman"/>
          <w:kern w:val="0"/>
          <w:sz w:val="32"/>
          <w:szCs w:val="32"/>
          <w:lang w:val="en-US" w:eastAsia="zh-CN"/>
        </w:rPr>
        <w:t>；为</w:t>
      </w:r>
      <w:r>
        <w:rPr>
          <w:rFonts w:hint="eastAsia" w:ascii="仿宋_GB2312" w:eastAsia="仿宋_GB2312"/>
          <w:sz w:val="32"/>
          <w:szCs w:val="32"/>
        </w:rPr>
        <w:t>方便市场主体办事，提高政务服务效能</w:t>
      </w:r>
      <w:r>
        <w:rPr>
          <w:rFonts w:hint="eastAsia" w:ascii="仿宋_GB2312" w:eastAsia="仿宋_GB2312"/>
          <w:sz w:val="32"/>
          <w:szCs w:val="32"/>
          <w:lang w:eastAsia="zh-CN"/>
        </w:rPr>
        <w:t>，</w:t>
      </w:r>
      <w:r>
        <w:rPr>
          <w:rFonts w:hint="eastAsia" w:ascii="仿宋_GB2312" w:eastAsia="仿宋_GB2312"/>
          <w:sz w:val="32"/>
          <w:szCs w:val="32"/>
          <w:lang w:val="en-US" w:eastAsia="zh-CN"/>
        </w:rPr>
        <w:t>开发</w:t>
      </w:r>
      <w:r>
        <w:rPr>
          <w:rFonts w:hint="eastAsia" w:ascii="TimesNewRoman" w:hAnsi="TimesNewRoman" w:eastAsia="仿宋_GB2312" w:cs="TimesNewRoman"/>
          <w:kern w:val="0"/>
          <w:sz w:val="32"/>
          <w:szCs w:val="32"/>
        </w:rPr>
        <w:t>电子营业执照发放及应用项目。</w:t>
      </w:r>
    </w:p>
    <w:p w14:paraId="5E9E43B4">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sz w:val="32"/>
          <w:szCs w:val="32"/>
        </w:rPr>
      </w:pPr>
      <w:r>
        <w:rPr>
          <w:rFonts w:hint="eastAsia" w:ascii="TimesNewRoman" w:hAnsi="TimesNewRoman" w:eastAsia="仿宋_GB2312" w:cs="TimesNewRoman"/>
          <w:kern w:val="0"/>
          <w:sz w:val="32"/>
          <w:szCs w:val="32"/>
        </w:rPr>
        <w:t>（2）立项依据。</w:t>
      </w:r>
      <w:r>
        <w:rPr>
          <w:rFonts w:hint="eastAsia" w:ascii="仿宋_GB2312" w:eastAsia="仿宋_GB2312"/>
          <w:sz w:val="32"/>
          <w:szCs w:val="32"/>
          <w:lang w:val="en-US" w:eastAsia="zh-CN"/>
        </w:rPr>
        <w:t>1.《安徽省创优“四最”营商环境工作领导小组办公室关于印发创优营商环境提升行动方案（2021版）的通知》、《安徽省企业开办注销季度分析评议细则（试行）》；2.《国务院办公厅关于进一步优化营商环境更好服务市场主体的实施意见》（国办发[2020]24 号）；3.《市场监管总局等六部门关于进一步优化企业开办服务的通知》（国市监注[2020]129号）；4.《国务院办公厅关于深化商事制度改革进一步为企业松绑减负激发企业活力的通知》（国办发〔2020〕29号）；5.《安徽省互联网政务服务办法》（省政府令第 281 号）；6.《关于全面推进安徽省电子印章公共服务平台（“皖信签”）建设及应用工作的通知》（皖数资函〔2022〕89号）。7.《关于依托全国一体化在线政务平台做好电子营业执照应用推广工作的通知》（国办电政函〔2019〕175号）、省政府营商环境考核评议细则。</w:t>
      </w:r>
    </w:p>
    <w:p w14:paraId="1F9CE4D7">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（3）实施主体。</w:t>
      </w:r>
      <w:r>
        <w:rPr>
          <w:rFonts w:hint="eastAsia" w:ascii="TimesNewRoman" w:hAnsi="TimesNewRoman" w:eastAsia="仿宋_GB2312" w:cs="TimesNewRoman"/>
          <w:kern w:val="0"/>
          <w:sz w:val="32"/>
          <w:szCs w:val="32"/>
          <w:lang w:val="en-US" w:eastAsia="zh-CN"/>
        </w:rPr>
        <w:t>淮北市市场监督管理局登记注册局</w:t>
      </w:r>
    </w:p>
    <w:p w14:paraId="50CB88C2">
      <w:pPr>
        <w:ind w:firstLine="640" w:firstLineChars="200"/>
        <w:rPr>
          <w:rFonts w:hint="eastAsia" w:ascii="仿宋_GB2312" w:eastAsia="仿宋_GB2312"/>
          <w:color w:val="000000"/>
          <w:sz w:val="32"/>
          <w:szCs w:val="32"/>
        </w:rPr>
      </w:pPr>
      <w:r>
        <w:rPr>
          <w:rFonts w:hint="eastAsia" w:ascii="TimesNewRoman" w:hAnsi="TimesNewRoman" w:eastAsia="仿宋_GB2312" w:cs="TimesNewRoman"/>
          <w:kern w:val="0"/>
          <w:sz w:val="32"/>
          <w:szCs w:val="32"/>
        </w:rPr>
        <w:t>（4）起止时间。</w:t>
      </w:r>
      <w:r>
        <w:rPr>
          <w:rFonts w:hint="eastAsia" w:ascii="仿宋_GB2312" w:eastAsia="仿宋_GB2312"/>
          <w:color w:val="000000"/>
          <w:sz w:val="32"/>
          <w:szCs w:val="32"/>
        </w:rPr>
        <w:t>202</w:t>
      </w:r>
      <w:r>
        <w:rPr>
          <w:rFonts w:hint="eastAsia" w:ascii="仿宋_GB2312" w:eastAsia="仿宋_GB2312"/>
          <w:color w:val="000000"/>
          <w:sz w:val="32"/>
          <w:szCs w:val="32"/>
          <w:lang w:val="en-US" w:eastAsia="zh-CN"/>
        </w:rPr>
        <w:t>4</w:t>
      </w:r>
      <w:r>
        <w:rPr>
          <w:rFonts w:hint="eastAsia" w:ascii="仿宋_GB2312" w:eastAsia="仿宋_GB2312"/>
          <w:color w:val="000000"/>
          <w:sz w:val="32"/>
          <w:szCs w:val="32"/>
        </w:rPr>
        <w:t>年1月至12月</w:t>
      </w:r>
    </w:p>
    <w:p w14:paraId="3BD2A70C">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sz w:val="32"/>
          <w:szCs w:val="32"/>
        </w:rPr>
      </w:pPr>
      <w:r>
        <w:rPr>
          <w:rFonts w:hint="eastAsia" w:ascii="TimesNewRoman" w:hAnsi="TimesNewRoman" w:eastAsia="仿宋_GB2312" w:cs="TimesNewRoman"/>
          <w:kern w:val="0"/>
          <w:sz w:val="32"/>
          <w:szCs w:val="32"/>
        </w:rPr>
        <w:t>（5）项目内容。</w:t>
      </w:r>
      <w:r>
        <w:rPr>
          <w:rFonts w:hint="eastAsia" w:ascii="仿宋_GB2312" w:eastAsia="仿宋_GB2312"/>
          <w:sz w:val="32"/>
          <w:szCs w:val="32"/>
        </w:rPr>
        <w:t>一是企业开办掌上办服务：为更好的服务办事群众，包括企业设立登记、公章刻制申请、发票申领、社保登记、医保登记、公积金缴存登记、银行预约开户等，开发企业开办系统移动端，项目服务费35万元。二是电子印章（皖信签）服务：以皖事通为载体，“皖信签”为基础，开展企业电子印章（企业公章、财务章、发票章、法人章、合同章）的申请、发放以及应用工作，项目服务费25万元</w:t>
      </w:r>
      <w:r>
        <w:rPr>
          <w:rFonts w:hint="eastAsia" w:ascii="仿宋_GB2312" w:eastAsia="仿宋_GB2312"/>
          <w:sz w:val="32"/>
          <w:szCs w:val="32"/>
          <w:lang w:eastAsia="zh-CN"/>
        </w:rPr>
        <w:t>。</w:t>
      </w:r>
      <w:r>
        <w:rPr>
          <w:rFonts w:hint="eastAsia" w:ascii="仿宋_GB2312" w:eastAsia="仿宋_GB2312"/>
          <w:sz w:val="32"/>
          <w:szCs w:val="32"/>
        </w:rPr>
        <w:t>三</w:t>
      </w:r>
      <w:r>
        <w:rPr>
          <w:rFonts w:hint="eastAsia" w:ascii="仿宋_GB2312" w:eastAsia="仿宋_GB2312"/>
          <w:sz w:val="32"/>
          <w:szCs w:val="32"/>
          <w:lang w:val="en-US" w:eastAsia="zh-CN"/>
        </w:rPr>
        <w:t>是</w:t>
      </w:r>
      <w:r>
        <w:rPr>
          <w:rFonts w:hint="eastAsia" w:ascii="仿宋_GB2312" w:eastAsia="仿宋_GB2312"/>
          <w:sz w:val="32"/>
          <w:szCs w:val="32"/>
        </w:rPr>
        <w:t>电子营业执照发放及应用项目28万元。通过推动电子营业执照在政务服务平台的应用，实现市场主体身份在线“一次验证、全网通用”、市场主体营业执照和各类证照电子文件及信息的共享复用，方便市场主体办事，提高政务服务效能。解决市场主体在不同地区和部门的政务服务平台重复注册验证等问题。</w:t>
      </w:r>
    </w:p>
    <w:p w14:paraId="76FF0EFA">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88</w:t>
      </w:r>
      <w:r>
        <w:rPr>
          <w:rFonts w:hint="eastAsia" w:ascii="仿宋_GB2312" w:hAnsi="仿宋" w:eastAsia="仿宋_GB2312"/>
          <w:sz w:val="32"/>
          <w:szCs w:val="32"/>
        </w:rPr>
        <w:t>万元</w:t>
      </w:r>
    </w:p>
    <w:p w14:paraId="007024B2">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（7）绩效目标。初步完成电子印章系统平台搭建、实现针对有需要的企业提供电子印章服务。 初步实现企业开办通过手机端操作，方便企业登记。搭建市级电子营业执照应用服务环境，实现淮北市政务领域电子营业执照应用服务支撑能力，方便企业群众办事创业。</w:t>
      </w:r>
    </w:p>
    <w:p w14:paraId="1922442F">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5AE44525">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w:t>
      </w:r>
      <w:r>
        <w:rPr>
          <w:rFonts w:hint="eastAsia" w:ascii="仿宋_GB2312" w:eastAsia="仿宋_GB2312"/>
          <w:sz w:val="32"/>
          <w:szCs w:val="32"/>
        </w:rPr>
        <w:t>单位劳务</w:t>
      </w:r>
      <w:r>
        <w:rPr>
          <w:rFonts w:hint="eastAsia" w:ascii="仿宋_GB2312" w:eastAsia="仿宋_GB2312"/>
          <w:sz w:val="32"/>
          <w:szCs w:val="32"/>
          <w:lang w:val="en-US" w:eastAsia="zh-CN"/>
        </w:rPr>
        <w:t>保障支出</w:t>
      </w:r>
      <w:r>
        <w:rPr>
          <w:rFonts w:hint="eastAsia" w:ascii="TimesNewRoman" w:hAnsi="TimesNewRoman" w:eastAsia="仿宋_GB2312" w:cs="TimesNewRoman"/>
          <w:kern w:val="0"/>
          <w:sz w:val="32"/>
          <w:szCs w:val="32"/>
        </w:rPr>
        <w:t>”项目。</w:t>
      </w:r>
    </w:p>
    <w:p w14:paraId="03C5C8CF">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default" w:ascii="仿宋_GB2312" w:eastAsia="仿宋_GB2312"/>
          <w:sz w:val="32"/>
          <w:szCs w:val="32"/>
          <w:lang w:val="en-US" w:eastAsia="zh-CN"/>
        </w:rPr>
      </w:pPr>
      <w:r>
        <w:rPr>
          <w:rFonts w:hint="eastAsia" w:ascii="TimesNewRoman" w:hAnsi="TimesNewRoman" w:eastAsia="仿宋_GB2312" w:cs="TimesNewRoman"/>
          <w:kern w:val="0"/>
          <w:sz w:val="32"/>
          <w:szCs w:val="32"/>
        </w:rPr>
        <w:t>（1）项目概述。</w:t>
      </w:r>
      <w:r>
        <w:rPr>
          <w:rFonts w:hint="eastAsia" w:ascii="TimesNewRoman" w:hAnsi="TimesNewRoman" w:eastAsia="仿宋_GB2312" w:cs="TimesNewRoman"/>
          <w:kern w:val="0"/>
          <w:sz w:val="32"/>
          <w:szCs w:val="32"/>
          <w:lang w:val="en-US" w:eastAsia="zh-CN"/>
        </w:rPr>
        <w:t>市市场监管局</w:t>
      </w:r>
      <w:r>
        <w:rPr>
          <w:rFonts w:hint="eastAsia" w:ascii="仿宋_GB2312" w:hAnsi="Times New Roman" w:eastAsia="仿宋_GB2312" w:cs="Times New Roman"/>
          <w:sz w:val="32"/>
          <w:szCs w:val="32"/>
        </w:rPr>
        <w:t>机构改革</w:t>
      </w:r>
      <w:r>
        <w:rPr>
          <w:rFonts w:hint="eastAsia" w:ascii="仿宋_GB2312" w:hAnsi="Times New Roman" w:eastAsia="仿宋_GB2312" w:cs="Times New Roman"/>
          <w:sz w:val="32"/>
          <w:szCs w:val="32"/>
          <w:lang w:val="en-US" w:eastAsia="zh-CN"/>
        </w:rPr>
        <w:t>后</w:t>
      </w:r>
      <w:r>
        <w:rPr>
          <w:rFonts w:hint="eastAsia" w:ascii="仿宋_GB2312" w:hAnsi="Times New Roman" w:eastAsia="仿宋_GB2312" w:cs="Times New Roman"/>
          <w:sz w:val="32"/>
          <w:szCs w:val="32"/>
        </w:rPr>
        <w:t>工作职能扩大，单位人员较少，为保障工作正常运转，</w:t>
      </w:r>
      <w:r>
        <w:rPr>
          <w:rFonts w:hint="eastAsia" w:ascii="仿宋_GB2312" w:eastAsia="仿宋_GB2312"/>
          <w:sz w:val="32"/>
          <w:szCs w:val="32"/>
        </w:rPr>
        <w:t>单位长期聘用人员2名</w:t>
      </w:r>
      <w:r>
        <w:rPr>
          <w:rFonts w:hint="eastAsia" w:ascii="仿宋_GB2312" w:eastAsia="仿宋_GB2312"/>
          <w:sz w:val="32"/>
          <w:szCs w:val="32"/>
          <w:lang w:val="en-US" w:eastAsia="zh-CN"/>
        </w:rPr>
        <w:t>工资福利、社保等支出。</w:t>
      </w:r>
    </w:p>
    <w:p w14:paraId="366443E1">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（2）立项依据。</w:t>
      </w:r>
      <w:r>
        <w:rPr>
          <w:rFonts w:hint="eastAsia" w:ascii="仿宋_GB2312" w:hAnsi="Times New Roman" w:eastAsia="仿宋_GB2312" w:cs="Times New Roman"/>
          <w:sz w:val="32"/>
          <w:szCs w:val="32"/>
        </w:rPr>
        <w:t>机构改革工作职能扩大，单位人员较少，为保障工作正常运转，</w:t>
      </w:r>
      <w:r>
        <w:rPr>
          <w:rFonts w:hint="eastAsia" w:ascii="仿宋_GB2312" w:eastAsia="仿宋_GB2312"/>
          <w:sz w:val="32"/>
          <w:szCs w:val="32"/>
        </w:rPr>
        <w:t>长期聘用人</w:t>
      </w:r>
      <w:r>
        <w:rPr>
          <w:rFonts w:hint="eastAsia" w:ascii="仿宋_GB2312" w:eastAsia="仿宋_GB2312"/>
          <w:sz w:val="32"/>
          <w:szCs w:val="32"/>
          <w:lang w:val="en-US" w:eastAsia="zh-CN"/>
        </w:rPr>
        <w:t>员。</w:t>
      </w:r>
    </w:p>
    <w:p w14:paraId="51B4D7CF">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（3）实施主体。</w:t>
      </w:r>
      <w:r>
        <w:rPr>
          <w:rFonts w:hint="eastAsia" w:ascii="TimesNewRoman" w:hAnsi="TimesNewRoman" w:eastAsia="仿宋_GB2312" w:cs="TimesNewRoman"/>
          <w:kern w:val="0"/>
          <w:sz w:val="32"/>
          <w:szCs w:val="32"/>
          <w:lang w:val="en-US" w:eastAsia="zh-CN"/>
        </w:rPr>
        <w:t>淮北市市场监督管理局人教科</w:t>
      </w:r>
    </w:p>
    <w:p w14:paraId="186E4225">
      <w:pPr>
        <w:ind w:firstLine="640" w:firstLineChars="200"/>
        <w:rPr>
          <w:rFonts w:hint="eastAsia" w:ascii="仿宋_GB2312" w:eastAsia="仿宋_GB2312"/>
          <w:color w:val="000000"/>
          <w:sz w:val="32"/>
          <w:szCs w:val="32"/>
        </w:rPr>
      </w:pPr>
      <w:r>
        <w:rPr>
          <w:rFonts w:hint="eastAsia" w:ascii="TimesNewRoman" w:hAnsi="TimesNewRoman" w:eastAsia="仿宋_GB2312" w:cs="TimesNewRoman"/>
          <w:kern w:val="0"/>
          <w:sz w:val="32"/>
          <w:szCs w:val="32"/>
        </w:rPr>
        <w:t>（4）起止时间。</w:t>
      </w:r>
      <w:r>
        <w:rPr>
          <w:rFonts w:hint="eastAsia" w:ascii="仿宋_GB2312" w:eastAsia="仿宋_GB2312"/>
          <w:color w:val="000000"/>
          <w:sz w:val="32"/>
          <w:szCs w:val="32"/>
        </w:rPr>
        <w:t>202</w:t>
      </w:r>
      <w:r>
        <w:rPr>
          <w:rFonts w:hint="eastAsia" w:ascii="仿宋_GB2312" w:eastAsia="仿宋_GB2312"/>
          <w:color w:val="000000"/>
          <w:sz w:val="32"/>
          <w:szCs w:val="32"/>
          <w:lang w:val="en-US" w:eastAsia="zh-CN"/>
        </w:rPr>
        <w:t>4</w:t>
      </w:r>
      <w:r>
        <w:rPr>
          <w:rFonts w:hint="eastAsia" w:ascii="仿宋_GB2312" w:eastAsia="仿宋_GB2312"/>
          <w:color w:val="000000"/>
          <w:sz w:val="32"/>
          <w:szCs w:val="32"/>
        </w:rPr>
        <w:t>年1月至12月</w:t>
      </w:r>
    </w:p>
    <w:p w14:paraId="775832A8">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sz w:val="32"/>
          <w:szCs w:val="32"/>
        </w:rPr>
      </w:pPr>
      <w:r>
        <w:rPr>
          <w:rFonts w:hint="eastAsia" w:ascii="TimesNewRoman" w:hAnsi="TimesNewRoman" w:eastAsia="仿宋_GB2312" w:cs="TimesNewRoman"/>
          <w:kern w:val="0"/>
          <w:sz w:val="32"/>
          <w:szCs w:val="32"/>
        </w:rPr>
        <w:t>（5）项目内容。</w:t>
      </w:r>
      <w:r>
        <w:rPr>
          <w:rFonts w:hint="eastAsia" w:ascii="仿宋_GB2312" w:eastAsia="仿宋_GB2312"/>
          <w:sz w:val="32"/>
          <w:szCs w:val="32"/>
        </w:rPr>
        <w:t>长期聘用人员2名，每年需要社保2728.38*12约3.3万元，工资5362.32*12约6.5万元，餐补1200*12月</w:t>
      </w:r>
      <w:r>
        <w:rPr>
          <w:rFonts w:hint="eastAsia" w:ascii="仿宋_GB2312" w:eastAsia="仿宋_GB2312"/>
          <w:sz w:val="32"/>
          <w:szCs w:val="32"/>
          <w:lang w:val="en-US" w:eastAsia="zh-CN"/>
        </w:rPr>
        <w:t>为</w:t>
      </w:r>
      <w:r>
        <w:rPr>
          <w:rFonts w:hint="eastAsia" w:ascii="仿宋_GB2312" w:eastAsia="仿宋_GB2312"/>
          <w:sz w:val="32"/>
          <w:szCs w:val="32"/>
        </w:rPr>
        <w:t>1.5万元，节日慰问及福利费约0.7万元，合计12万元。</w:t>
      </w:r>
    </w:p>
    <w:p w14:paraId="5DED821E">
      <w:pPr>
        <w:ind w:firstLine="640" w:firstLineChars="200"/>
        <w:rPr>
          <w:rFonts w:hint="eastAsia" w:ascii="仿宋_GB2312" w:hAnsi="仿宋" w:eastAsia="仿宋_GB2312"/>
          <w:sz w:val="32"/>
          <w:szCs w:val="32"/>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12</w:t>
      </w:r>
      <w:r>
        <w:rPr>
          <w:rFonts w:hint="eastAsia" w:ascii="仿宋_GB2312" w:hAnsi="仿宋" w:eastAsia="仿宋_GB2312"/>
          <w:sz w:val="32"/>
          <w:szCs w:val="32"/>
        </w:rPr>
        <w:t>万元</w:t>
      </w:r>
    </w:p>
    <w:p w14:paraId="5290B766">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（7）绩效目标。保障聘用人员工资福利待遇</w:t>
      </w:r>
      <w:r>
        <w:rPr>
          <w:rFonts w:hint="eastAsia" w:ascii="TimesNewRoman" w:hAnsi="TimesNewRoman" w:eastAsia="仿宋_GB2312" w:cs="TimesNewRoman"/>
          <w:kern w:val="0"/>
          <w:sz w:val="32"/>
          <w:szCs w:val="32"/>
          <w:lang w:eastAsia="zh-CN"/>
        </w:rPr>
        <w:t>。</w:t>
      </w:r>
    </w:p>
    <w:p w14:paraId="3AA9016F">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6843ED4B">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5</w:t>
      </w:r>
      <w:r>
        <w:rPr>
          <w:rFonts w:hint="eastAsia" w:ascii="TimesNewRoman" w:hAnsi="TimesNewRoman" w:eastAsia="仿宋_GB2312" w:cs="TimesNewRoman"/>
          <w:kern w:val="0"/>
          <w:sz w:val="32"/>
          <w:szCs w:val="32"/>
        </w:rPr>
        <w:t>、“</w:t>
      </w:r>
      <w:r>
        <w:rPr>
          <w:rFonts w:hint="eastAsia" w:ascii="仿宋_GB2312" w:eastAsia="仿宋_GB2312"/>
          <w:sz w:val="32"/>
          <w:szCs w:val="32"/>
        </w:rPr>
        <w:t>大楼运行维护费</w:t>
      </w:r>
      <w:r>
        <w:rPr>
          <w:rFonts w:hint="eastAsia" w:ascii="TimesNewRoman" w:hAnsi="TimesNewRoman" w:eastAsia="仿宋_GB2312" w:cs="TimesNewRoman"/>
          <w:kern w:val="0"/>
          <w:sz w:val="32"/>
          <w:szCs w:val="32"/>
        </w:rPr>
        <w:t>”项目。</w:t>
      </w:r>
    </w:p>
    <w:p w14:paraId="5E30E805">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default" w:ascii="仿宋_GB2312" w:eastAsia="仿宋_GB2312"/>
          <w:sz w:val="32"/>
          <w:szCs w:val="32"/>
          <w:lang w:val="en-US" w:eastAsia="zh-CN"/>
        </w:rPr>
      </w:pPr>
      <w:r>
        <w:rPr>
          <w:rFonts w:hint="eastAsia" w:ascii="TimesNewRoman" w:hAnsi="TimesNewRoman" w:eastAsia="仿宋_GB2312" w:cs="TimesNewRoman"/>
          <w:kern w:val="0"/>
          <w:sz w:val="32"/>
          <w:szCs w:val="32"/>
        </w:rPr>
        <w:t>（1）项目概述。</w:t>
      </w:r>
      <w:r>
        <w:rPr>
          <w:rFonts w:hint="eastAsia" w:ascii="仿宋_GB2312" w:eastAsia="仿宋_GB2312"/>
          <w:sz w:val="32"/>
          <w:szCs w:val="32"/>
        </w:rPr>
        <w:t>淮北市市场监督管理局大院面积40亩，绿化面积18亩，</w:t>
      </w:r>
      <w:r>
        <w:rPr>
          <w:rFonts w:hint="eastAsia" w:ascii="仿宋_GB2312" w:eastAsia="仿宋_GB2312"/>
          <w:sz w:val="32"/>
          <w:szCs w:val="32"/>
          <w:lang w:val="en-US" w:eastAsia="zh-CN"/>
        </w:rPr>
        <w:t>为保障办公大楼正常运转，物业管理支出及所需水电等费用。</w:t>
      </w:r>
    </w:p>
    <w:p w14:paraId="14DF7B07">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（2）立项依据。</w:t>
      </w:r>
      <w:r>
        <w:rPr>
          <w:rFonts w:hint="eastAsia" w:ascii="仿宋_GB2312" w:eastAsia="仿宋_GB2312"/>
          <w:sz w:val="32"/>
          <w:szCs w:val="32"/>
        </w:rPr>
        <w:t>根据工作需要和公共资源交易中心招标合同</w:t>
      </w:r>
      <w:r>
        <w:rPr>
          <w:rFonts w:hint="eastAsia" w:ascii="仿宋_GB2312" w:eastAsia="仿宋_GB2312"/>
          <w:sz w:val="32"/>
          <w:szCs w:val="32"/>
          <w:lang w:val="en-US" w:eastAsia="zh-CN"/>
        </w:rPr>
        <w:t>约定，</w:t>
      </w:r>
      <w:r>
        <w:rPr>
          <w:rFonts w:hint="eastAsia" w:ascii="仿宋_GB2312" w:eastAsia="仿宋_GB2312"/>
          <w:sz w:val="32"/>
          <w:szCs w:val="32"/>
        </w:rPr>
        <w:t>保障办公环境和各类检验室正常运转</w:t>
      </w:r>
      <w:r>
        <w:rPr>
          <w:rFonts w:hint="eastAsia" w:ascii="仿宋_GB2312" w:eastAsia="仿宋_GB2312"/>
          <w:sz w:val="32"/>
          <w:szCs w:val="32"/>
          <w:lang w:eastAsia="zh-CN"/>
        </w:rPr>
        <w:t>。</w:t>
      </w:r>
    </w:p>
    <w:p w14:paraId="48ECF259">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（3）实施主体。</w:t>
      </w:r>
      <w:r>
        <w:rPr>
          <w:rFonts w:hint="eastAsia" w:ascii="TimesNewRoman" w:hAnsi="TimesNewRoman" w:eastAsia="仿宋_GB2312" w:cs="TimesNewRoman"/>
          <w:kern w:val="0"/>
          <w:sz w:val="32"/>
          <w:szCs w:val="32"/>
          <w:lang w:val="en-US" w:eastAsia="zh-CN"/>
        </w:rPr>
        <w:t>淮北市市场监督管理局办公室</w:t>
      </w:r>
    </w:p>
    <w:p w14:paraId="52FED233">
      <w:pPr>
        <w:ind w:firstLine="640" w:firstLineChars="200"/>
        <w:rPr>
          <w:rFonts w:hint="eastAsia" w:ascii="仿宋_GB2312" w:eastAsia="仿宋_GB2312"/>
          <w:color w:val="000000"/>
          <w:sz w:val="32"/>
          <w:szCs w:val="32"/>
        </w:rPr>
      </w:pPr>
      <w:r>
        <w:rPr>
          <w:rFonts w:hint="eastAsia" w:ascii="TimesNewRoman" w:hAnsi="TimesNewRoman" w:eastAsia="仿宋_GB2312" w:cs="TimesNewRoman"/>
          <w:kern w:val="0"/>
          <w:sz w:val="32"/>
          <w:szCs w:val="32"/>
        </w:rPr>
        <w:t>（4）起止时间。</w:t>
      </w:r>
      <w:r>
        <w:rPr>
          <w:rFonts w:hint="eastAsia" w:ascii="仿宋_GB2312" w:eastAsia="仿宋_GB2312"/>
          <w:color w:val="000000"/>
          <w:sz w:val="32"/>
          <w:szCs w:val="32"/>
        </w:rPr>
        <w:t>202</w:t>
      </w:r>
      <w:r>
        <w:rPr>
          <w:rFonts w:hint="eastAsia" w:ascii="仿宋_GB2312" w:eastAsia="仿宋_GB2312"/>
          <w:color w:val="000000"/>
          <w:sz w:val="32"/>
          <w:szCs w:val="32"/>
          <w:lang w:val="en-US" w:eastAsia="zh-CN"/>
        </w:rPr>
        <w:t>4</w:t>
      </w:r>
      <w:r>
        <w:rPr>
          <w:rFonts w:hint="eastAsia" w:ascii="仿宋_GB2312" w:eastAsia="仿宋_GB2312"/>
          <w:color w:val="000000"/>
          <w:sz w:val="32"/>
          <w:szCs w:val="32"/>
        </w:rPr>
        <w:t>年1月至12月</w:t>
      </w:r>
    </w:p>
    <w:p w14:paraId="04D5120E">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sz w:val="32"/>
          <w:szCs w:val="32"/>
        </w:rPr>
      </w:pPr>
      <w:r>
        <w:rPr>
          <w:rFonts w:hint="eastAsia" w:ascii="TimesNewRoman" w:hAnsi="TimesNewRoman" w:eastAsia="仿宋_GB2312" w:cs="TimesNewRoman"/>
          <w:kern w:val="0"/>
          <w:sz w:val="32"/>
          <w:szCs w:val="32"/>
        </w:rPr>
        <w:t>（5）项目内容。</w:t>
      </w:r>
      <w:r>
        <w:rPr>
          <w:rFonts w:hint="eastAsia" w:ascii="仿宋_GB2312" w:eastAsia="仿宋_GB2312"/>
          <w:sz w:val="32"/>
          <w:szCs w:val="32"/>
          <w:lang w:val="en-US" w:eastAsia="zh-CN"/>
        </w:rPr>
        <w:t xml:space="preserve"> 为保障我局办公大楼正常运转，</w:t>
      </w:r>
      <w:r>
        <w:rPr>
          <w:rFonts w:hint="eastAsia" w:ascii="仿宋_GB2312" w:eastAsia="仿宋_GB2312"/>
          <w:sz w:val="32"/>
          <w:szCs w:val="32"/>
        </w:rPr>
        <w:t>经政府招投标，委托</w:t>
      </w:r>
      <w:r>
        <w:rPr>
          <w:rFonts w:hint="eastAsia" w:ascii="仿宋_GB2312" w:eastAsia="仿宋_GB2312"/>
          <w:sz w:val="32"/>
          <w:szCs w:val="32"/>
          <w:lang w:val="en-US" w:eastAsia="zh-CN"/>
        </w:rPr>
        <w:t>物业公司</w:t>
      </w:r>
      <w:r>
        <w:rPr>
          <w:rFonts w:hint="eastAsia" w:ascii="仿宋_GB2312" w:eastAsia="仿宋_GB2312"/>
          <w:sz w:val="32"/>
          <w:szCs w:val="32"/>
        </w:rPr>
        <w:t>进行管理，需支付大楼物业管理费；同时由于市场监督管理大楼市实验室综合楼，主要用于特检中心、药检中心、质检所、纤检所和计量所等单位实验检验，用电量大，各类仪器设备重要及精密要求24小时不断电。为保障我局用电安全，特聘用专业水电工及保卫人员。</w:t>
      </w:r>
      <w:r>
        <w:rPr>
          <w:rFonts w:hint="eastAsia" w:ascii="仿宋_GB2312" w:eastAsia="仿宋_GB2312"/>
          <w:sz w:val="32"/>
          <w:szCs w:val="32"/>
          <w:lang w:val="en-US" w:eastAsia="zh-CN"/>
        </w:rPr>
        <w:t>一是物业管理费。因人员最低工资和社保经费的上调，2024年上调至37.5万元/年；二是水费。每年约12000吨；三是电费。每年约65万度；四是日常维修费。包括空调、灯具、水管、楼顶破损维修、路面维修等。</w:t>
      </w:r>
    </w:p>
    <w:p w14:paraId="2C1AC42B">
      <w:pPr>
        <w:ind w:firstLine="640" w:firstLineChars="200"/>
        <w:rPr>
          <w:rFonts w:hint="eastAsia" w:ascii="仿宋_GB2312" w:hAnsi="仿宋" w:eastAsia="仿宋_GB2312"/>
          <w:sz w:val="32"/>
          <w:szCs w:val="32"/>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32</w:t>
      </w:r>
      <w:r>
        <w:rPr>
          <w:rFonts w:hint="eastAsia" w:ascii="仿宋_GB2312" w:hAnsi="仿宋" w:eastAsia="仿宋_GB2312"/>
          <w:sz w:val="32"/>
          <w:szCs w:val="32"/>
        </w:rPr>
        <w:t>万元</w:t>
      </w:r>
    </w:p>
    <w:p w14:paraId="2059881E">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（7）绩效目标。保障办公环境和各类检验室正常运转。</w:t>
      </w:r>
    </w:p>
    <w:p w14:paraId="08E8A092">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6D7477DB">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6</w:t>
      </w:r>
      <w:r>
        <w:rPr>
          <w:rFonts w:hint="eastAsia" w:ascii="TimesNewRoman" w:hAnsi="TimesNewRoman" w:eastAsia="仿宋_GB2312" w:cs="TimesNewRoman"/>
          <w:kern w:val="0"/>
          <w:sz w:val="32"/>
          <w:szCs w:val="32"/>
        </w:rPr>
        <w:t>、“</w:t>
      </w:r>
      <w:r>
        <w:rPr>
          <w:rFonts w:hint="eastAsia" w:ascii="仿宋_GB2312" w:eastAsia="仿宋_GB2312"/>
          <w:sz w:val="32"/>
          <w:szCs w:val="32"/>
        </w:rPr>
        <w:t>产品质量安全监管</w:t>
      </w:r>
      <w:r>
        <w:rPr>
          <w:rFonts w:hint="eastAsia" w:ascii="仿宋_GB2312" w:eastAsia="仿宋_GB2312"/>
          <w:sz w:val="32"/>
          <w:szCs w:val="32"/>
          <w:lang w:val="en-US" w:eastAsia="zh-CN"/>
        </w:rPr>
        <w:t>经费</w:t>
      </w:r>
      <w:r>
        <w:rPr>
          <w:rFonts w:hint="eastAsia" w:ascii="TimesNewRoman" w:hAnsi="TimesNewRoman" w:eastAsia="仿宋_GB2312" w:cs="TimesNewRoman"/>
          <w:kern w:val="0"/>
          <w:sz w:val="32"/>
          <w:szCs w:val="32"/>
        </w:rPr>
        <w:t>”项目。</w:t>
      </w:r>
    </w:p>
    <w:p w14:paraId="09A427A9">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default" w:ascii="仿宋_GB2312" w:eastAsia="仿宋_GB2312"/>
          <w:sz w:val="32"/>
          <w:szCs w:val="32"/>
          <w:lang w:val="en-US" w:eastAsia="zh-CN"/>
        </w:rPr>
      </w:pPr>
      <w:r>
        <w:rPr>
          <w:rFonts w:hint="eastAsia" w:ascii="TimesNewRoman" w:hAnsi="TimesNewRoman" w:eastAsia="仿宋_GB2312" w:cs="TimesNewRoman"/>
          <w:kern w:val="0"/>
          <w:sz w:val="32"/>
          <w:szCs w:val="32"/>
        </w:rPr>
        <w:t>（1）项目概述。</w:t>
      </w:r>
      <w:r>
        <w:rPr>
          <w:rFonts w:hint="eastAsia" w:ascii="TimesNewRoman" w:hAnsi="TimesNewRoman" w:eastAsia="仿宋_GB2312" w:cs="TimesNewRoman"/>
          <w:kern w:val="0"/>
          <w:sz w:val="32"/>
          <w:szCs w:val="32"/>
          <w:lang w:val="en-US" w:eastAsia="zh-CN"/>
        </w:rPr>
        <w:t>主要用于</w:t>
      </w:r>
      <w:r>
        <w:rPr>
          <w:rFonts w:hint="eastAsia" w:ascii="仿宋_GB2312" w:eastAsia="仿宋_GB2312"/>
          <w:sz w:val="32"/>
          <w:szCs w:val="32"/>
        </w:rPr>
        <w:t>开展生产领域和流通领域产品质量监督抽查</w:t>
      </w:r>
      <w:r>
        <w:rPr>
          <w:rFonts w:hint="eastAsia" w:ascii="仿宋_GB2312" w:eastAsia="仿宋_GB2312"/>
          <w:sz w:val="32"/>
          <w:szCs w:val="32"/>
          <w:lang w:val="en-US" w:eastAsia="zh-CN"/>
        </w:rPr>
        <w:t>等支出。</w:t>
      </w:r>
    </w:p>
    <w:p w14:paraId="6F63D068">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（2）立项依据。</w:t>
      </w:r>
      <w:r>
        <w:rPr>
          <w:rFonts w:hint="eastAsia" w:ascii="仿宋_GB2312" w:eastAsia="仿宋_GB2312"/>
          <w:sz w:val="32"/>
          <w:szCs w:val="32"/>
          <w:lang w:val="en-US" w:eastAsia="zh-CN"/>
        </w:rPr>
        <w:t>一是《关于下达2023年市级产品质量监督抽查计划的通知》（淮北市监质监[2023]10号）；二是《关于下达2023年产品质量市级监督抽查计划的通知》，市场总局关于在政务服务便民热线优化工作中依法做好投诉举报处理工作的意见，开展1.10、3.15、5.1、中秋国庆、元旦春节法规宣传，《安徽省市场监管局关于做好全国12315平台上线运行工作的通知》，《安徽省放心消费创建活动工作方案》；三是《财政部 国家发展改革委关于清理规范一批行政事业性收费有关政策的通知》（财税〔2017〕20号），《产品质量法》第十五条，《产品质量监督抽查管理暂行办法》（国家市场监管总局第18号令），《安徽省产品质量监督抽查管理办法》（皖市监办发〔2019〕4号），《安徽省市场监督管理局行政许可技术评审费用管理暂行办法》《安徽省市场监督管理局非行政许可类项目评审费用管理暂行办法》（皖市监办发〔2019〕22号）；四是2023年全省网络交易监管要点。</w:t>
      </w:r>
    </w:p>
    <w:p w14:paraId="010CD992">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（3）实施主体。</w:t>
      </w:r>
      <w:r>
        <w:rPr>
          <w:rFonts w:hint="eastAsia" w:ascii="TimesNewRoman" w:hAnsi="TimesNewRoman" w:eastAsia="仿宋_GB2312" w:cs="TimesNewRoman"/>
          <w:kern w:val="0"/>
          <w:sz w:val="32"/>
          <w:szCs w:val="32"/>
          <w:lang w:val="en-US" w:eastAsia="zh-CN"/>
        </w:rPr>
        <w:t>淮北市市场监督管理局产品质量监管科、市场规范科、</w:t>
      </w:r>
      <w:r>
        <w:rPr>
          <w:rFonts w:hint="eastAsia" w:ascii="仿宋_GB2312" w:eastAsia="仿宋_GB2312"/>
          <w:sz w:val="32"/>
          <w:szCs w:val="32"/>
        </w:rPr>
        <w:t>12315中心</w:t>
      </w:r>
      <w:r>
        <w:rPr>
          <w:rFonts w:hint="eastAsia" w:ascii="仿宋_GB2312" w:eastAsia="仿宋_GB2312"/>
          <w:sz w:val="32"/>
          <w:szCs w:val="32"/>
          <w:lang w:eastAsia="zh-CN"/>
        </w:rPr>
        <w:t>、</w:t>
      </w:r>
      <w:r>
        <w:rPr>
          <w:rFonts w:hint="eastAsia" w:ascii="仿宋_GB2312" w:eastAsia="仿宋_GB2312"/>
          <w:sz w:val="32"/>
          <w:szCs w:val="32"/>
          <w:lang w:val="en-US" w:eastAsia="zh-CN"/>
        </w:rPr>
        <w:t>网络监督管理科</w:t>
      </w:r>
    </w:p>
    <w:p w14:paraId="3A96859A">
      <w:pPr>
        <w:ind w:firstLine="640" w:firstLineChars="200"/>
        <w:rPr>
          <w:rFonts w:hint="eastAsia" w:ascii="仿宋_GB2312" w:eastAsia="仿宋_GB2312"/>
          <w:color w:val="000000"/>
          <w:sz w:val="32"/>
          <w:szCs w:val="32"/>
        </w:rPr>
      </w:pPr>
      <w:r>
        <w:rPr>
          <w:rFonts w:hint="eastAsia" w:ascii="TimesNewRoman" w:hAnsi="TimesNewRoman" w:eastAsia="仿宋_GB2312" w:cs="TimesNewRoman"/>
          <w:kern w:val="0"/>
          <w:sz w:val="32"/>
          <w:szCs w:val="32"/>
        </w:rPr>
        <w:t>（4）起止时间。</w:t>
      </w:r>
      <w:r>
        <w:rPr>
          <w:rFonts w:hint="eastAsia" w:ascii="仿宋_GB2312" w:eastAsia="仿宋_GB2312"/>
          <w:color w:val="000000"/>
          <w:sz w:val="32"/>
          <w:szCs w:val="32"/>
        </w:rPr>
        <w:t>202</w:t>
      </w:r>
      <w:r>
        <w:rPr>
          <w:rFonts w:hint="eastAsia" w:ascii="仿宋_GB2312" w:eastAsia="仿宋_GB2312"/>
          <w:color w:val="000000"/>
          <w:sz w:val="32"/>
          <w:szCs w:val="32"/>
          <w:lang w:val="en-US" w:eastAsia="zh-CN"/>
        </w:rPr>
        <w:t>4</w:t>
      </w:r>
      <w:r>
        <w:rPr>
          <w:rFonts w:hint="eastAsia" w:ascii="仿宋_GB2312" w:eastAsia="仿宋_GB2312"/>
          <w:color w:val="000000"/>
          <w:sz w:val="32"/>
          <w:szCs w:val="32"/>
        </w:rPr>
        <w:t>年1月至12月</w:t>
      </w:r>
    </w:p>
    <w:p w14:paraId="06206F00">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default" w:ascii="仿宋_GB2312" w:eastAsia="仿宋_GB2312"/>
          <w:sz w:val="32"/>
          <w:szCs w:val="32"/>
          <w:lang w:val="en-US" w:eastAsia="zh-CN"/>
        </w:rPr>
      </w:pPr>
      <w:r>
        <w:rPr>
          <w:rFonts w:hint="eastAsia" w:ascii="TimesNewRoman" w:hAnsi="TimesNewRoman" w:eastAsia="仿宋_GB2312" w:cs="TimesNewRoman"/>
          <w:kern w:val="0"/>
          <w:sz w:val="32"/>
          <w:szCs w:val="32"/>
        </w:rPr>
        <w:t>（5）项目内容。</w:t>
      </w:r>
      <w:r>
        <w:rPr>
          <w:rFonts w:hint="eastAsia" w:ascii="仿宋_GB2312" w:eastAsia="仿宋_GB2312"/>
          <w:sz w:val="32"/>
          <w:szCs w:val="32"/>
          <w:lang w:val="en-US" w:eastAsia="zh-CN"/>
        </w:rPr>
        <w:t xml:space="preserve"> </w:t>
      </w:r>
      <w:r>
        <w:rPr>
          <w:rFonts w:hint="eastAsia" w:ascii="仿宋_GB2312" w:eastAsia="仿宋_GB2312"/>
          <w:color w:val="000000"/>
          <w:sz w:val="32"/>
          <w:szCs w:val="32"/>
        </w:rPr>
        <w:t>该项目经费35万元，涉及</w:t>
      </w:r>
      <w:r>
        <w:rPr>
          <w:rFonts w:hint="eastAsia" w:ascii="仿宋_GB2312" w:eastAsia="仿宋_GB2312"/>
          <w:color w:val="000000"/>
          <w:sz w:val="32"/>
          <w:szCs w:val="32"/>
          <w:lang w:val="en-US" w:eastAsia="zh-CN"/>
        </w:rPr>
        <w:t>4</w:t>
      </w:r>
      <w:r>
        <w:rPr>
          <w:rFonts w:hint="eastAsia" w:ascii="仿宋_GB2312" w:eastAsia="仿宋_GB2312"/>
          <w:color w:val="000000"/>
          <w:sz w:val="32"/>
          <w:szCs w:val="32"/>
        </w:rPr>
        <w:t>个科室。</w:t>
      </w:r>
      <w:r>
        <w:rPr>
          <w:rFonts w:hint="eastAsia" w:ascii="仿宋_GB2312" w:eastAsia="仿宋_GB2312"/>
          <w:sz w:val="32"/>
          <w:szCs w:val="32"/>
        </w:rPr>
        <w:t>一是市场规范科9万。开展成品油、农资、石油液化气和车用尿素抽检，分别抽检60组、20组、10组、10组。二是12315中心7万元。开展流通领域产品质量抽检，小家电30组、服装鞋帽20组、学习文具用品10组、儿童生活娱乐用10组、妇女儿童用卫生用品10组、床上用品10组、箱包10组；“3.15”法规宣传制作展板1块、条幅5条、印刷法律法规资料、宣传用品及学习、培训费等。三是产品质量监管科18万。开展生产领域和流通领域产品质量监督抽查：消防产品25组、燃气相关产品20组，电动自行车及相关产品30组，塑料制品25组，插头插座5组、烟花爆竹10组、预拌混凝土15组、汽车用品10组、安全防护用品10组等共约150组。四是网监科1万。开展电子商务法、网络交易监督管理办法等普法宣传；对全市4717家网店、1303个企业网站、424个小程序商城、4542个涉网主体开展监督检查，开展合同格式条款专项整治。</w:t>
      </w:r>
    </w:p>
    <w:p w14:paraId="40FEAB9B">
      <w:pPr>
        <w:ind w:firstLine="640" w:firstLineChars="200"/>
        <w:rPr>
          <w:rFonts w:hint="eastAsia" w:ascii="仿宋_GB2312" w:hAnsi="仿宋" w:eastAsia="仿宋_GB2312"/>
          <w:sz w:val="32"/>
          <w:szCs w:val="32"/>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35</w:t>
      </w:r>
      <w:r>
        <w:rPr>
          <w:rFonts w:hint="eastAsia" w:ascii="仿宋_GB2312" w:hAnsi="仿宋" w:eastAsia="仿宋_GB2312"/>
          <w:sz w:val="32"/>
          <w:szCs w:val="32"/>
        </w:rPr>
        <w:t>万元</w:t>
      </w:r>
    </w:p>
    <w:p w14:paraId="619B3760">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7）绩效目标。一是开展生产和流通领域商品抽检，促进我市产品质量提升，加强产品质量监督管理，提高产品质量安全监管水平，减少产品质量风险隐患，保障不发生区域性、系统性产品质量安全事件，服务民生、维护消费者合法权益；加大对抽检不合格产品的后处理整改和案件线索移交，净化淮北销售市场。二是开展成品油、车用尿素、农资和石油液化气抽检；三是实施流通领域的小商品抽检。分析利用监督抽查和风险监控结果，及时发现处置问题， 落实产品质量安全企业主体责任，提升我省产品质量安全水平，杜绝区域性、行业性产品质量问题发生，防范产品质量风险隐患。</w:t>
      </w:r>
    </w:p>
    <w:p w14:paraId="272FE866">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04E5003D">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7</w:t>
      </w:r>
      <w:r>
        <w:rPr>
          <w:rFonts w:hint="eastAsia" w:ascii="TimesNewRoman" w:hAnsi="TimesNewRoman" w:eastAsia="仿宋_GB2312" w:cs="TimesNewRoman"/>
          <w:kern w:val="0"/>
          <w:sz w:val="32"/>
          <w:szCs w:val="32"/>
        </w:rPr>
        <w:t>、“</w:t>
      </w:r>
      <w:r>
        <w:rPr>
          <w:rFonts w:hint="eastAsia" w:ascii="仿宋_GB2312" w:eastAsia="仿宋_GB2312"/>
          <w:sz w:val="32"/>
          <w:szCs w:val="32"/>
        </w:rPr>
        <w:t>信息化平台运行维护</w:t>
      </w:r>
      <w:r>
        <w:rPr>
          <w:rFonts w:hint="eastAsia" w:ascii="仿宋_GB2312" w:eastAsia="仿宋_GB2312"/>
          <w:sz w:val="32"/>
          <w:szCs w:val="32"/>
          <w:lang w:val="en-US" w:eastAsia="zh-CN"/>
        </w:rPr>
        <w:t>费</w:t>
      </w:r>
      <w:r>
        <w:rPr>
          <w:rFonts w:hint="eastAsia" w:ascii="TimesNewRoman" w:hAnsi="TimesNewRoman" w:eastAsia="仿宋_GB2312" w:cs="TimesNewRoman"/>
          <w:kern w:val="0"/>
          <w:sz w:val="32"/>
          <w:szCs w:val="32"/>
        </w:rPr>
        <w:t>”项目。</w:t>
      </w:r>
    </w:p>
    <w:p w14:paraId="25E8A931">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default" w:ascii="TimesNewRoman" w:hAnsi="TimesNewRoman" w:eastAsia="仿宋_GB2312" w:cs="TimesNewRoman"/>
          <w:kern w:val="0"/>
          <w:sz w:val="32"/>
          <w:szCs w:val="32"/>
          <w:lang w:val="en-US"/>
        </w:rPr>
      </w:pPr>
      <w:r>
        <w:rPr>
          <w:rFonts w:hint="eastAsia" w:ascii="TimesNewRoman" w:hAnsi="TimesNewRoman" w:eastAsia="仿宋_GB2312" w:cs="TimesNewRoman"/>
          <w:kern w:val="0"/>
          <w:sz w:val="32"/>
          <w:szCs w:val="32"/>
        </w:rPr>
        <w:t>（1）项目概述。</w:t>
      </w:r>
      <w:r>
        <w:rPr>
          <w:rFonts w:hint="eastAsia" w:ascii="TimesNewRoman" w:hAnsi="TimesNewRoman" w:eastAsia="仿宋_GB2312" w:cs="TimesNewRoman"/>
          <w:kern w:val="0"/>
          <w:sz w:val="32"/>
          <w:szCs w:val="32"/>
          <w:lang w:val="en-US" w:eastAsia="zh-CN"/>
        </w:rPr>
        <w:t>用于全局</w:t>
      </w:r>
      <w:r>
        <w:rPr>
          <w:rFonts w:hint="eastAsia" w:ascii="仿宋_GB2312" w:eastAsia="仿宋_GB2312"/>
          <w:sz w:val="32"/>
          <w:szCs w:val="32"/>
        </w:rPr>
        <w:t>网络运行通讯</w:t>
      </w:r>
      <w:r>
        <w:rPr>
          <w:rFonts w:hint="eastAsia" w:ascii="仿宋_GB2312" w:eastAsia="仿宋_GB2312"/>
          <w:sz w:val="32"/>
          <w:szCs w:val="32"/>
          <w:lang w:eastAsia="zh-CN"/>
        </w:rPr>
        <w:t>、</w:t>
      </w:r>
      <w:r>
        <w:rPr>
          <w:rFonts w:hint="eastAsia" w:ascii="仿宋_GB2312" w:eastAsia="仿宋_GB2312"/>
          <w:sz w:val="32"/>
          <w:szCs w:val="32"/>
        </w:rPr>
        <w:t>电梯安全信息化监督管理平台运行维护</w:t>
      </w:r>
      <w:r>
        <w:rPr>
          <w:rFonts w:hint="eastAsia" w:ascii="仿宋_GB2312" w:eastAsia="仿宋_GB2312"/>
          <w:sz w:val="32"/>
          <w:szCs w:val="32"/>
          <w:lang w:eastAsia="zh-CN"/>
        </w:rPr>
        <w:t>、</w:t>
      </w:r>
      <w:r>
        <w:rPr>
          <w:rFonts w:hint="eastAsia" w:ascii="仿宋_GB2312" w:eastAsia="仿宋_GB2312"/>
          <w:sz w:val="32"/>
          <w:szCs w:val="32"/>
        </w:rPr>
        <w:t>舆情监测</w:t>
      </w:r>
      <w:r>
        <w:rPr>
          <w:rFonts w:hint="eastAsia" w:ascii="仿宋_GB2312" w:eastAsia="仿宋_GB2312"/>
          <w:sz w:val="32"/>
          <w:szCs w:val="32"/>
          <w:lang w:eastAsia="zh-CN"/>
        </w:rPr>
        <w:t>、</w:t>
      </w:r>
      <w:r>
        <w:rPr>
          <w:rFonts w:hint="eastAsia" w:ascii="仿宋_GB2312" w:eastAsia="仿宋_GB2312"/>
          <w:sz w:val="32"/>
          <w:szCs w:val="32"/>
        </w:rPr>
        <w:t>政务公开服务</w:t>
      </w:r>
      <w:r>
        <w:rPr>
          <w:rFonts w:hint="eastAsia" w:ascii="仿宋_GB2312" w:eastAsia="仿宋_GB2312"/>
          <w:sz w:val="32"/>
          <w:szCs w:val="32"/>
          <w:lang w:val="en-US" w:eastAsia="zh-CN"/>
        </w:rPr>
        <w:t>等支出</w:t>
      </w:r>
    </w:p>
    <w:p w14:paraId="41C65B04">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sz w:val="32"/>
          <w:szCs w:val="32"/>
          <w:lang w:val="en-US" w:eastAsia="zh-CN"/>
        </w:rPr>
      </w:pPr>
      <w:r>
        <w:rPr>
          <w:rFonts w:hint="eastAsia" w:ascii="TimesNewRoman" w:hAnsi="TimesNewRoman" w:eastAsia="仿宋_GB2312" w:cs="TimesNewRoman"/>
          <w:kern w:val="0"/>
          <w:sz w:val="32"/>
          <w:szCs w:val="32"/>
        </w:rPr>
        <w:t>（2）立项依据。</w:t>
      </w:r>
      <w:r>
        <w:rPr>
          <w:rFonts w:hint="eastAsia" w:ascii="仿宋_GB2312" w:eastAsia="仿宋_GB2312"/>
          <w:sz w:val="32"/>
          <w:szCs w:val="32"/>
          <w:lang w:val="en-US" w:eastAsia="zh-CN"/>
        </w:rPr>
        <w:t>1.《淮北市2022年政府网站及政务新媒体工作要点》。2.《安徽省药品安全委员会办公室关于印发2021年药品安全工作考核评议方案的通知》（皖药安办〔2021〕8号）附件考核细则第36项要求开展药品舆情监测。3.《安徽省市场监督管理局 安徽省数据资源管理局关于做好全省市场监管专网向电子政务外网迁移整合工作的通知》皖市监函[2022]249号。4.《中华人民共和国网络安全法》、《中华人民共和国计算机信息系统安全保护条例》。5.《淮北市电梯安全条例》第41条、《中华人民共和国特种设备安全法》第十条、《气瓶安全监察规定》第二十七条。</w:t>
      </w:r>
    </w:p>
    <w:p w14:paraId="4AC23ABF">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（3）实施主体。</w:t>
      </w:r>
      <w:r>
        <w:rPr>
          <w:rFonts w:hint="eastAsia" w:ascii="TimesNewRoman" w:hAnsi="TimesNewRoman" w:eastAsia="仿宋_GB2312" w:cs="TimesNewRoman"/>
          <w:kern w:val="0"/>
          <w:sz w:val="32"/>
          <w:szCs w:val="32"/>
          <w:lang w:val="en-US" w:eastAsia="zh-CN"/>
        </w:rPr>
        <w:t>淮北市市场监督管理局科信科、特设科、办公室、广告科、网络监督管理科</w:t>
      </w:r>
    </w:p>
    <w:p w14:paraId="2A2155BB">
      <w:pPr>
        <w:ind w:firstLine="640" w:firstLineChars="200"/>
        <w:rPr>
          <w:rFonts w:hint="eastAsia" w:ascii="仿宋_GB2312" w:eastAsia="仿宋_GB2312"/>
          <w:color w:val="000000"/>
          <w:sz w:val="32"/>
          <w:szCs w:val="32"/>
        </w:rPr>
      </w:pPr>
      <w:r>
        <w:rPr>
          <w:rFonts w:hint="eastAsia" w:ascii="TimesNewRoman" w:hAnsi="TimesNewRoman" w:eastAsia="仿宋_GB2312" w:cs="TimesNewRoman"/>
          <w:kern w:val="0"/>
          <w:sz w:val="32"/>
          <w:szCs w:val="32"/>
        </w:rPr>
        <w:t>（4）起止时间。</w:t>
      </w:r>
      <w:r>
        <w:rPr>
          <w:rFonts w:hint="eastAsia" w:ascii="仿宋_GB2312" w:eastAsia="仿宋_GB2312"/>
          <w:color w:val="000000"/>
          <w:sz w:val="32"/>
          <w:szCs w:val="32"/>
        </w:rPr>
        <w:t>202</w:t>
      </w:r>
      <w:r>
        <w:rPr>
          <w:rFonts w:hint="eastAsia" w:ascii="仿宋_GB2312" w:eastAsia="仿宋_GB2312"/>
          <w:color w:val="000000"/>
          <w:sz w:val="32"/>
          <w:szCs w:val="32"/>
          <w:lang w:val="en-US" w:eastAsia="zh-CN"/>
        </w:rPr>
        <w:t>4</w:t>
      </w:r>
      <w:r>
        <w:rPr>
          <w:rFonts w:hint="eastAsia" w:ascii="仿宋_GB2312" w:eastAsia="仿宋_GB2312"/>
          <w:color w:val="000000"/>
          <w:sz w:val="32"/>
          <w:szCs w:val="32"/>
        </w:rPr>
        <w:t>年1月至12月</w:t>
      </w:r>
    </w:p>
    <w:p w14:paraId="788B73A7">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sz w:val="32"/>
          <w:szCs w:val="32"/>
        </w:rPr>
      </w:pPr>
      <w:r>
        <w:rPr>
          <w:rFonts w:hint="eastAsia" w:ascii="TimesNewRoman" w:hAnsi="TimesNewRoman" w:eastAsia="仿宋_GB2312" w:cs="TimesNewRoman"/>
          <w:kern w:val="0"/>
          <w:sz w:val="32"/>
          <w:szCs w:val="32"/>
        </w:rPr>
        <w:t>（5）项目内容。</w:t>
      </w:r>
      <w:r>
        <w:rPr>
          <w:rFonts w:hint="eastAsia" w:ascii="仿宋_GB2312" w:eastAsia="仿宋_GB2312"/>
          <w:sz w:val="32"/>
          <w:szCs w:val="32"/>
          <w:lang w:val="en-US" w:eastAsia="zh-CN"/>
        </w:rPr>
        <w:t>一是</w:t>
      </w:r>
      <w:r>
        <w:rPr>
          <w:rFonts w:hint="eastAsia" w:ascii="仿宋_GB2312" w:eastAsia="仿宋_GB2312"/>
          <w:sz w:val="32"/>
          <w:szCs w:val="32"/>
        </w:rPr>
        <w:t>网络运行及通讯费用25.5万，购买政府网站SSL加密证书0.5万；</w:t>
      </w:r>
      <w:r>
        <w:rPr>
          <w:rFonts w:hint="eastAsia" w:ascii="仿宋_GB2312" w:eastAsia="仿宋_GB2312"/>
          <w:sz w:val="32"/>
          <w:szCs w:val="32"/>
          <w:lang w:val="en-US" w:eastAsia="zh-CN"/>
        </w:rPr>
        <w:t>二是</w:t>
      </w:r>
      <w:r>
        <w:rPr>
          <w:rFonts w:hint="eastAsia" w:ascii="仿宋_GB2312" w:eastAsia="仿宋_GB2312"/>
          <w:sz w:val="32"/>
          <w:szCs w:val="32"/>
        </w:rPr>
        <w:t>舆情监测第三方服务费用5万，政务公开服务2万,微信公众号宣传三方服务5万。</w:t>
      </w:r>
      <w:r>
        <w:rPr>
          <w:rFonts w:hint="eastAsia" w:ascii="仿宋_GB2312" w:eastAsia="仿宋_GB2312"/>
          <w:sz w:val="32"/>
          <w:szCs w:val="32"/>
          <w:lang w:val="en-US" w:eastAsia="zh-CN"/>
        </w:rPr>
        <w:t>三是</w:t>
      </w:r>
      <w:r>
        <w:rPr>
          <w:rFonts w:hint="eastAsia" w:ascii="仿宋_GB2312" w:eastAsia="仿宋_GB2312"/>
          <w:sz w:val="32"/>
          <w:szCs w:val="32"/>
        </w:rPr>
        <w:t>广告监测服务费5万元。</w:t>
      </w:r>
      <w:r>
        <w:rPr>
          <w:rFonts w:hint="eastAsia" w:ascii="仿宋_GB2312" w:eastAsia="仿宋_GB2312"/>
          <w:sz w:val="32"/>
          <w:szCs w:val="32"/>
          <w:lang w:val="en-US" w:eastAsia="zh-CN"/>
        </w:rPr>
        <w:t>四是</w:t>
      </w:r>
      <w:r>
        <w:rPr>
          <w:rFonts w:hint="eastAsia" w:ascii="仿宋_GB2312" w:eastAsia="仿宋_GB2312"/>
          <w:sz w:val="32"/>
          <w:szCs w:val="32"/>
        </w:rPr>
        <w:t>机房托管费用5万。</w:t>
      </w:r>
      <w:r>
        <w:rPr>
          <w:rFonts w:hint="eastAsia" w:ascii="仿宋_GB2312" w:eastAsia="仿宋_GB2312"/>
          <w:sz w:val="32"/>
          <w:szCs w:val="32"/>
          <w:lang w:val="en-US" w:eastAsia="zh-CN"/>
        </w:rPr>
        <w:t>五是</w:t>
      </w:r>
      <w:r>
        <w:rPr>
          <w:rFonts w:hint="eastAsia" w:ascii="仿宋_GB2312" w:eastAsia="仿宋_GB2312"/>
          <w:sz w:val="32"/>
          <w:szCs w:val="32"/>
        </w:rPr>
        <w:t>信息系统等保测评企业开办系统9万，档案管理系统5万，气瓶安全监管5万。</w:t>
      </w:r>
      <w:r>
        <w:rPr>
          <w:rFonts w:hint="eastAsia" w:ascii="仿宋_GB2312" w:eastAsia="仿宋_GB2312"/>
          <w:sz w:val="32"/>
          <w:szCs w:val="32"/>
          <w:lang w:val="en-US" w:eastAsia="zh-CN"/>
        </w:rPr>
        <w:t>六是</w:t>
      </w:r>
      <w:r>
        <w:rPr>
          <w:rFonts w:hint="eastAsia" w:ascii="仿宋_GB2312" w:eastAsia="仿宋_GB2312"/>
          <w:sz w:val="32"/>
          <w:szCs w:val="32"/>
        </w:rPr>
        <w:t>淮北市电梯安全信息化监督管理平台运行维护费26万元，气瓶安全信息化管理系统运维费1万元。</w:t>
      </w:r>
    </w:p>
    <w:p w14:paraId="2F00B57E">
      <w:pPr>
        <w:ind w:firstLine="640" w:firstLineChars="200"/>
        <w:rPr>
          <w:rFonts w:hint="eastAsia" w:ascii="仿宋_GB2312" w:hAnsi="仿宋" w:eastAsia="仿宋_GB2312"/>
          <w:sz w:val="32"/>
          <w:szCs w:val="32"/>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93</w:t>
      </w:r>
      <w:r>
        <w:rPr>
          <w:rFonts w:hint="eastAsia" w:ascii="仿宋_GB2312" w:hAnsi="仿宋" w:eastAsia="仿宋_GB2312"/>
          <w:sz w:val="32"/>
          <w:szCs w:val="32"/>
        </w:rPr>
        <w:t>万元</w:t>
      </w:r>
    </w:p>
    <w:p w14:paraId="4BB8574B">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7）绩效目标。通过购买市场监管信息系统基础网络设备、相关维保服务、运维服务、信息安全服务等，保障机房运行稳定和信息系统安全平稳，提高互联网政务及监管能力；通过加大电梯及气瓶管理平台运维投入，提高电梯应急救援响应速度及气瓶充装安全，加强对维保质量的监管，努力实现电梯和气瓶安全管理科学化、精细化、信息化、智慧化</w:t>
      </w:r>
    </w:p>
    <w:p w14:paraId="6BE826AC">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2C619C60">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8</w:t>
      </w:r>
      <w:r>
        <w:rPr>
          <w:rFonts w:hint="eastAsia" w:ascii="TimesNewRoman" w:hAnsi="TimesNewRoman" w:eastAsia="仿宋_GB2312" w:cs="TimesNewRoman"/>
          <w:kern w:val="0"/>
          <w:sz w:val="32"/>
          <w:szCs w:val="32"/>
        </w:rPr>
        <w:t>、“</w:t>
      </w:r>
      <w:r>
        <w:rPr>
          <w:rFonts w:hint="eastAsia" w:ascii="仿宋_GB2312" w:eastAsia="仿宋_GB2312"/>
          <w:sz w:val="32"/>
          <w:szCs w:val="32"/>
        </w:rPr>
        <w:t>“你点我检”食品安全抽检</w:t>
      </w:r>
      <w:r>
        <w:rPr>
          <w:rFonts w:hint="eastAsia" w:ascii="TimesNewRoman" w:hAnsi="TimesNewRoman" w:eastAsia="仿宋_GB2312" w:cs="TimesNewRoman"/>
          <w:kern w:val="0"/>
          <w:sz w:val="32"/>
          <w:szCs w:val="32"/>
        </w:rPr>
        <w:t>”项目。</w:t>
      </w:r>
    </w:p>
    <w:p w14:paraId="1B307483">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sz w:val="32"/>
          <w:szCs w:val="32"/>
        </w:rPr>
      </w:pPr>
      <w:r>
        <w:rPr>
          <w:rFonts w:hint="eastAsia" w:ascii="TimesNewRoman" w:hAnsi="TimesNewRoman" w:eastAsia="仿宋_GB2312" w:cs="TimesNewRoman"/>
          <w:kern w:val="0"/>
          <w:sz w:val="32"/>
          <w:szCs w:val="32"/>
        </w:rPr>
        <w:t>（1）项目概述。</w:t>
      </w:r>
      <w:r>
        <w:rPr>
          <w:rFonts w:hint="eastAsia" w:ascii="仿宋_GB2312" w:eastAsia="仿宋_GB2312"/>
          <w:sz w:val="32"/>
          <w:szCs w:val="32"/>
        </w:rPr>
        <w:t>以问题为导向，从解决人民群众关心的突出问题入手，聚焦高风险食品品种，围绕人民群众身体健康的安全性指标，以及食品安全突出问题开展食品抽检。</w:t>
      </w:r>
    </w:p>
    <w:p w14:paraId="7138A357">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sz w:val="32"/>
          <w:szCs w:val="32"/>
        </w:rPr>
      </w:pPr>
      <w:r>
        <w:rPr>
          <w:rFonts w:hint="eastAsia" w:ascii="TimesNewRoman" w:hAnsi="TimesNewRoman" w:eastAsia="仿宋_GB2312" w:cs="TimesNewRoman"/>
          <w:kern w:val="0"/>
          <w:sz w:val="32"/>
          <w:szCs w:val="32"/>
        </w:rPr>
        <w:t>（2）立项依据。</w:t>
      </w:r>
      <w:r>
        <w:rPr>
          <w:rFonts w:hint="eastAsia" w:ascii="仿宋_GB2312" w:eastAsia="仿宋_GB2312"/>
          <w:sz w:val="32"/>
          <w:szCs w:val="32"/>
        </w:rPr>
        <w:t>《中华人民共和国食品安全法》《食品安全抽样检验管理办法》以及省政府年度对市政府食品安全考核涉及到食品抽检检测工作的批次数、不合格率、不合格食品核查处置、信息公示等指标。</w:t>
      </w:r>
    </w:p>
    <w:p w14:paraId="0C50821D">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（3）实施主体。</w:t>
      </w:r>
      <w:r>
        <w:rPr>
          <w:rFonts w:hint="eastAsia" w:ascii="TimesNewRoman" w:hAnsi="TimesNewRoman" w:eastAsia="仿宋_GB2312" w:cs="TimesNewRoman"/>
          <w:kern w:val="0"/>
          <w:sz w:val="32"/>
          <w:szCs w:val="32"/>
          <w:lang w:val="en-US" w:eastAsia="zh-CN"/>
        </w:rPr>
        <w:t>淮北市市场监督管理局食品药品抽检科</w:t>
      </w:r>
    </w:p>
    <w:p w14:paraId="717AA699">
      <w:pPr>
        <w:ind w:firstLine="640" w:firstLineChars="200"/>
        <w:rPr>
          <w:rFonts w:hint="eastAsia" w:ascii="仿宋_GB2312" w:eastAsia="仿宋_GB2312"/>
          <w:color w:val="000000"/>
          <w:sz w:val="32"/>
          <w:szCs w:val="32"/>
        </w:rPr>
      </w:pPr>
      <w:r>
        <w:rPr>
          <w:rFonts w:hint="eastAsia" w:ascii="TimesNewRoman" w:hAnsi="TimesNewRoman" w:eastAsia="仿宋_GB2312" w:cs="TimesNewRoman"/>
          <w:kern w:val="0"/>
          <w:sz w:val="32"/>
          <w:szCs w:val="32"/>
        </w:rPr>
        <w:t>（4）起止时间。</w:t>
      </w:r>
      <w:r>
        <w:rPr>
          <w:rFonts w:hint="eastAsia" w:ascii="仿宋_GB2312" w:eastAsia="仿宋_GB2312"/>
          <w:color w:val="000000"/>
          <w:sz w:val="32"/>
          <w:szCs w:val="32"/>
        </w:rPr>
        <w:t>202</w:t>
      </w:r>
      <w:r>
        <w:rPr>
          <w:rFonts w:hint="eastAsia" w:ascii="仿宋_GB2312" w:eastAsia="仿宋_GB2312"/>
          <w:color w:val="000000"/>
          <w:sz w:val="32"/>
          <w:szCs w:val="32"/>
          <w:lang w:val="en-US" w:eastAsia="zh-CN"/>
        </w:rPr>
        <w:t>4</w:t>
      </w:r>
      <w:r>
        <w:rPr>
          <w:rFonts w:hint="eastAsia" w:ascii="仿宋_GB2312" w:eastAsia="仿宋_GB2312"/>
          <w:color w:val="000000"/>
          <w:sz w:val="32"/>
          <w:szCs w:val="32"/>
        </w:rPr>
        <w:t>年1月至12月</w:t>
      </w:r>
    </w:p>
    <w:p w14:paraId="249FB288">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仿宋_GB2312" w:eastAsia="仿宋_GB2312"/>
          <w:sz w:val="32"/>
          <w:szCs w:val="32"/>
        </w:rPr>
      </w:pPr>
      <w:r>
        <w:rPr>
          <w:rFonts w:hint="eastAsia" w:ascii="TimesNewRoman" w:hAnsi="TimesNewRoman" w:eastAsia="仿宋_GB2312" w:cs="TimesNewRoman"/>
          <w:kern w:val="0"/>
          <w:sz w:val="32"/>
          <w:szCs w:val="32"/>
        </w:rPr>
        <w:t>（5）项目内容。</w:t>
      </w:r>
      <w:r>
        <w:rPr>
          <w:rFonts w:hint="eastAsia" w:ascii="仿宋_GB2312" w:eastAsia="仿宋_GB2312"/>
          <w:sz w:val="32"/>
          <w:szCs w:val="32"/>
          <w:lang w:val="en-US" w:eastAsia="zh-CN"/>
        </w:rPr>
        <w:t xml:space="preserve"> </w:t>
      </w:r>
      <w:r>
        <w:rPr>
          <w:rFonts w:hint="eastAsia" w:ascii="仿宋_GB2312" w:eastAsia="仿宋_GB2312"/>
          <w:sz w:val="32"/>
          <w:szCs w:val="32"/>
        </w:rPr>
        <w:t>食品安全“你点我检”</w:t>
      </w:r>
      <w:r>
        <w:rPr>
          <w:rFonts w:hint="eastAsia" w:ascii="仿宋_GB2312" w:eastAsia="仿宋_GB2312"/>
          <w:sz w:val="32"/>
          <w:szCs w:val="32"/>
          <w:lang w:val="en-US" w:eastAsia="zh-CN"/>
        </w:rPr>
        <w:t>是</w:t>
      </w:r>
      <w:r>
        <w:rPr>
          <w:rFonts w:hint="eastAsia" w:ascii="仿宋_GB2312" w:eastAsia="仿宋_GB2312"/>
          <w:sz w:val="32"/>
          <w:szCs w:val="32"/>
        </w:rPr>
        <w:t>民生项目</w:t>
      </w:r>
      <w:r>
        <w:rPr>
          <w:rFonts w:hint="eastAsia" w:ascii="仿宋_GB2312" w:eastAsia="仿宋_GB2312"/>
          <w:sz w:val="32"/>
          <w:szCs w:val="32"/>
          <w:lang w:eastAsia="zh-CN"/>
        </w:rPr>
        <w:t>，</w:t>
      </w:r>
      <w:r>
        <w:rPr>
          <w:rFonts w:hint="eastAsia" w:ascii="仿宋_GB2312" w:eastAsia="仿宋_GB2312"/>
          <w:sz w:val="32"/>
          <w:szCs w:val="32"/>
        </w:rPr>
        <w:t>食品抽检300批次，均价500元每批次，合计15万元。</w:t>
      </w:r>
    </w:p>
    <w:p w14:paraId="23802C78">
      <w:pPr>
        <w:ind w:firstLine="640" w:firstLineChars="200"/>
        <w:rPr>
          <w:rFonts w:hint="eastAsia" w:ascii="仿宋_GB2312" w:hAnsi="仿宋" w:eastAsia="仿宋_GB2312"/>
          <w:sz w:val="32"/>
          <w:szCs w:val="32"/>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15</w:t>
      </w:r>
      <w:r>
        <w:rPr>
          <w:rFonts w:hint="eastAsia" w:ascii="仿宋_GB2312" w:hAnsi="仿宋" w:eastAsia="仿宋_GB2312"/>
          <w:sz w:val="32"/>
          <w:szCs w:val="32"/>
        </w:rPr>
        <w:t>万元</w:t>
      </w:r>
    </w:p>
    <w:p w14:paraId="58107B68">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（7）绩效目标。以问题为导向，从解决人民群众关心的突出问题入手，聚焦高风险食品品种，围绕人民群众身体健康的安全性指标，以及食品安全突出问题开展食品抽检。</w:t>
      </w:r>
    </w:p>
    <w:p w14:paraId="75B2DBD0">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17C3BFC0">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9</w:t>
      </w:r>
      <w:r>
        <w:rPr>
          <w:rFonts w:hint="eastAsia" w:ascii="TimesNewRoman" w:hAnsi="TimesNewRoman" w:eastAsia="仿宋_GB2312" w:cs="TimesNewRoman"/>
          <w:kern w:val="0"/>
          <w:sz w:val="32"/>
          <w:szCs w:val="32"/>
        </w:rPr>
        <w:t>、“产品质量检验业务经费”项目。</w:t>
      </w:r>
    </w:p>
    <w:p w14:paraId="5CA083C4">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（1）项目概述。</w:t>
      </w:r>
      <w:r>
        <w:rPr>
          <w:rFonts w:hint="eastAsia" w:ascii="仿宋_GB2312" w:hAnsi="楷体" w:eastAsia="仿宋_GB2312"/>
          <w:sz w:val="32"/>
          <w:szCs w:val="32"/>
        </w:rPr>
        <w:t>经费主要用于弥补产品质量监督检验过程中，发生的专用材料费，差旅费等业务费用,以及为，做好技术更新，提高检测能力，确保检验、检定结果的准确性而加大的检测设备投入</w:t>
      </w:r>
      <w:r>
        <w:rPr>
          <w:rFonts w:hint="eastAsia" w:ascii="仿宋_GB2312" w:hAnsi="楷体" w:eastAsia="仿宋_GB2312"/>
          <w:sz w:val="32"/>
          <w:szCs w:val="32"/>
          <w:lang w:eastAsia="zh-CN"/>
        </w:rPr>
        <w:t>。</w:t>
      </w:r>
    </w:p>
    <w:p w14:paraId="5B4C6E3D">
      <w:pPr>
        <w:numPr>
          <w:ilvl w:val="0"/>
          <w:numId w:val="0"/>
        </w:num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（2）立项依据。</w:t>
      </w:r>
      <w:r>
        <w:rPr>
          <w:rFonts w:hint="eastAsia" w:ascii="仿宋_GB2312" w:hAnsi="楷体" w:eastAsia="仿宋_GB2312"/>
          <w:sz w:val="32"/>
          <w:szCs w:val="32"/>
        </w:rPr>
        <w:t>《产品质量法》、《标准化法》、《认证认可条例》、《生产许可证条例》</w:t>
      </w:r>
      <w:r>
        <w:rPr>
          <w:rFonts w:hint="eastAsia" w:ascii="仿宋_GB2312" w:hAnsi="楷体" w:eastAsia="仿宋_GB2312"/>
          <w:sz w:val="32"/>
          <w:szCs w:val="32"/>
          <w:lang w:eastAsia="zh-CN"/>
        </w:rPr>
        <w:t>。</w:t>
      </w:r>
    </w:p>
    <w:p w14:paraId="382D586C">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（3）实施主体。淮北市产品质量监督检验所</w:t>
      </w:r>
    </w:p>
    <w:p w14:paraId="43555F06">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（4）起止时间。</w:t>
      </w:r>
      <w:r>
        <w:rPr>
          <w:rFonts w:hint="eastAsia" w:ascii="仿宋_GB2312" w:hAnsi="楷体" w:eastAsia="仿宋_GB2312"/>
          <w:sz w:val="32"/>
          <w:szCs w:val="32"/>
          <w:lang w:val="en-US" w:eastAsia="zh-CN"/>
        </w:rPr>
        <w:t>2024年1月至12月</w:t>
      </w:r>
    </w:p>
    <w:p w14:paraId="7D044B2D">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（5）项目内容。委托业务费</w:t>
      </w:r>
      <w:r>
        <w:rPr>
          <w:rFonts w:hint="eastAsia" w:ascii="TimesNewRoman" w:hAnsi="TimesNewRoman" w:eastAsia="仿宋_GB2312" w:cs="TimesNewRoman"/>
          <w:kern w:val="0"/>
          <w:sz w:val="32"/>
          <w:szCs w:val="32"/>
          <w:lang w:val="en-US" w:eastAsia="zh-CN"/>
        </w:rPr>
        <w:t>3.50万元；维修（护）费1.00万元；专用材料费4.00万元；物业管理费3.125万元；专用设备购置2.00万元；办公费2.00万元；电费1.00万元；水费0.20万元；邮电费2.50万元；培训费0.50万元；差旅费0.60万元；公务用车运行维护费1.50万元；劳务费12.00万元；其他商品和服务支出7.175万元</w:t>
      </w:r>
      <w:r>
        <w:rPr>
          <w:rFonts w:hint="eastAsia" w:ascii="TimesNewRoman" w:hAnsi="TimesNewRoman" w:eastAsia="仿宋_GB2312" w:cs="TimesNewRoman"/>
          <w:kern w:val="0"/>
          <w:sz w:val="32"/>
          <w:szCs w:val="32"/>
          <w:lang w:eastAsia="zh-CN"/>
        </w:rPr>
        <w:t>。</w:t>
      </w:r>
    </w:p>
    <w:p w14:paraId="70888E14">
      <w:pPr>
        <w:ind w:firstLine="640" w:firstLineChars="200"/>
        <w:rPr>
          <w:rFonts w:hint="eastAsia" w:ascii="仿宋_GB2312" w:hAnsi="仿宋" w:eastAsia="仿宋_GB2312"/>
          <w:sz w:val="32"/>
          <w:szCs w:val="32"/>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41.1</w:t>
      </w:r>
      <w:r>
        <w:rPr>
          <w:rFonts w:hint="eastAsia" w:ascii="仿宋_GB2312" w:hAnsi="仿宋" w:eastAsia="仿宋_GB2312"/>
          <w:sz w:val="32"/>
          <w:szCs w:val="32"/>
        </w:rPr>
        <w:t>万元</w:t>
      </w:r>
    </w:p>
    <w:p w14:paraId="20D138B2">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（7）绩效目标。所安排经费主要用于弥补产品质量监督检验过程中，发生的专用材料费</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rPr>
        <w:t>差旅费等业务费用,以及为做好技术更新，提高检测能力，确保检验、检定结果的准确性而加大的检测设备投入</w:t>
      </w:r>
      <w:r>
        <w:rPr>
          <w:rFonts w:hint="eastAsia" w:ascii="TimesNewRoman" w:hAnsi="TimesNewRoman" w:eastAsia="仿宋_GB2312" w:cs="TimesNewRoman"/>
          <w:kern w:val="0"/>
          <w:sz w:val="32"/>
          <w:szCs w:val="32"/>
          <w:lang w:eastAsia="zh-CN"/>
        </w:rPr>
        <w:t>。</w:t>
      </w:r>
    </w:p>
    <w:p w14:paraId="0FA8D166">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3665D37A">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10</w:t>
      </w: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单位劳务保障支出</w:t>
      </w:r>
      <w:r>
        <w:rPr>
          <w:rFonts w:hint="eastAsia" w:ascii="TimesNewRoman" w:hAnsi="TimesNewRoman" w:eastAsia="仿宋_GB2312" w:cs="TimesNewRoman"/>
          <w:kern w:val="0"/>
          <w:sz w:val="32"/>
          <w:szCs w:val="32"/>
        </w:rPr>
        <w:t>”项目。</w:t>
      </w:r>
    </w:p>
    <w:p w14:paraId="2C378D89">
      <w:pPr>
        <w:ind w:firstLine="640" w:firstLineChars="200"/>
        <w:rPr>
          <w:rFonts w:hint="eastAsia" w:ascii="仿宋_GB2312" w:hAnsi="楷体" w:eastAsia="仿宋_GB2312"/>
          <w:sz w:val="32"/>
          <w:szCs w:val="32"/>
          <w:lang w:eastAsia="zh-CN"/>
        </w:rPr>
      </w:pPr>
      <w:r>
        <w:rPr>
          <w:rFonts w:hint="eastAsia" w:ascii="TimesNewRoman" w:hAnsi="TimesNewRoman" w:eastAsia="仿宋_GB2312" w:cs="TimesNewRoman"/>
          <w:kern w:val="0"/>
          <w:sz w:val="32"/>
          <w:szCs w:val="32"/>
        </w:rPr>
        <w:t>（1）项目概述。淮北市产品质量监督检验所</w:t>
      </w:r>
      <w:r>
        <w:rPr>
          <w:rFonts w:hint="eastAsia" w:ascii="仿宋_GB2312" w:hAnsi="楷体" w:eastAsia="仿宋_GB2312"/>
          <w:sz w:val="32"/>
          <w:szCs w:val="32"/>
        </w:rPr>
        <w:t>在开展产品质量监督检验等业务过程中，发生聘用人员劳务支出工资、社保、公积金费用，试验用易耗材料费，水、电、检验用车燃修费，检验用房维修费，仪器设备折旧费、维修等各种费用，即“成本性支出</w:t>
      </w:r>
      <w:r>
        <w:rPr>
          <w:rFonts w:hint="eastAsia" w:ascii="仿宋_GB2312" w:hAnsi="楷体" w:eastAsia="仿宋_GB2312"/>
          <w:sz w:val="32"/>
          <w:szCs w:val="32"/>
          <w:lang w:eastAsia="zh-CN"/>
        </w:rPr>
        <w:t>”。</w:t>
      </w:r>
    </w:p>
    <w:p w14:paraId="0EAED6CD">
      <w:pPr>
        <w:numPr>
          <w:ilvl w:val="0"/>
          <w:numId w:val="0"/>
        </w:num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（2）立项依据。</w:t>
      </w:r>
      <w:r>
        <w:rPr>
          <w:rFonts w:hint="eastAsia" w:ascii="TimesNewRoman" w:hAnsi="TimesNewRoman" w:eastAsia="仿宋_GB2312" w:cs="TimesNewRoman"/>
          <w:kern w:val="0"/>
          <w:sz w:val="32"/>
          <w:szCs w:val="32"/>
          <w:lang w:val="en-US" w:eastAsia="zh-CN"/>
        </w:rPr>
        <w:t>单位人员少，无法满足日常产品抽检工作，长期聘用8名抽检人员</w:t>
      </w:r>
      <w:r>
        <w:rPr>
          <w:rFonts w:hint="eastAsia" w:ascii="TimesNewRoman" w:hAnsi="TimesNewRoman" w:eastAsia="仿宋_GB2312" w:cs="TimesNewRoman"/>
          <w:kern w:val="0"/>
          <w:sz w:val="32"/>
          <w:szCs w:val="32"/>
          <w:lang w:eastAsia="zh-CN"/>
        </w:rPr>
        <w:t>。</w:t>
      </w:r>
    </w:p>
    <w:p w14:paraId="6E0D2B77">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（3）实施主体。淮北市产品质量监督检验所</w:t>
      </w:r>
    </w:p>
    <w:p w14:paraId="236E525B">
      <w:pPr>
        <w:ind w:firstLine="640" w:firstLineChars="200"/>
        <w:rPr>
          <w:rFonts w:hint="eastAsia" w:ascii="仿宋_GB2312" w:hAnsi="楷体" w:eastAsia="仿宋_GB2312"/>
          <w:sz w:val="32"/>
          <w:szCs w:val="32"/>
          <w:lang w:val="en-US" w:eastAsia="zh-CN"/>
        </w:rPr>
      </w:pPr>
      <w:r>
        <w:rPr>
          <w:rFonts w:hint="eastAsia" w:ascii="TimesNewRoman" w:hAnsi="TimesNewRoman" w:eastAsia="仿宋_GB2312" w:cs="TimesNewRoman"/>
          <w:kern w:val="0"/>
          <w:sz w:val="32"/>
          <w:szCs w:val="32"/>
        </w:rPr>
        <w:t>（4）起止时间。</w:t>
      </w:r>
      <w:r>
        <w:rPr>
          <w:rFonts w:hint="eastAsia" w:ascii="仿宋_GB2312" w:hAnsi="楷体" w:eastAsia="仿宋_GB2312"/>
          <w:sz w:val="32"/>
          <w:szCs w:val="32"/>
          <w:lang w:val="en-US" w:eastAsia="zh-CN"/>
        </w:rPr>
        <w:t>2024年1月至12月</w:t>
      </w:r>
    </w:p>
    <w:p w14:paraId="1A55020E">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（5）项目内容。</w:t>
      </w:r>
      <w:r>
        <w:rPr>
          <w:rFonts w:hint="eastAsia" w:ascii="TimesNewRoman" w:hAnsi="TimesNewRoman" w:eastAsia="仿宋_GB2312" w:cs="TimesNewRoman"/>
          <w:kern w:val="0"/>
          <w:sz w:val="32"/>
          <w:szCs w:val="32"/>
          <w:lang w:val="en-US" w:eastAsia="zh-CN"/>
        </w:rPr>
        <w:t>劳务费60万元，公务接待费0.50万元，其他商品和服务支出1.50万元。</w:t>
      </w:r>
    </w:p>
    <w:p w14:paraId="6E96D531">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62</w:t>
      </w:r>
      <w:r>
        <w:rPr>
          <w:rFonts w:hint="eastAsia" w:ascii="仿宋_GB2312" w:hAnsi="仿宋" w:eastAsia="仿宋_GB2312"/>
          <w:sz w:val="32"/>
          <w:szCs w:val="32"/>
        </w:rPr>
        <w:t>万元</w:t>
      </w:r>
    </w:p>
    <w:p w14:paraId="3F081870">
      <w:pPr>
        <w:numPr>
          <w:ilvl w:val="0"/>
          <w:numId w:val="2"/>
        </w:num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绩效目标。</w:t>
      </w:r>
      <w:r>
        <w:rPr>
          <w:rFonts w:hint="eastAsia" w:ascii="TimesNewRoman" w:hAnsi="TimesNewRoman" w:eastAsia="仿宋_GB2312" w:cs="TimesNewRoman"/>
          <w:kern w:val="0"/>
          <w:sz w:val="32"/>
          <w:szCs w:val="32"/>
          <w:lang w:val="en-US" w:eastAsia="zh-CN"/>
        </w:rPr>
        <w:t>保障聘用人员福利待遇等</w:t>
      </w:r>
      <w:r>
        <w:rPr>
          <w:rFonts w:hint="eastAsia" w:ascii="TimesNewRoman" w:hAnsi="TimesNewRoman" w:eastAsia="仿宋_GB2312" w:cs="TimesNewRoman"/>
          <w:kern w:val="0"/>
          <w:sz w:val="32"/>
          <w:szCs w:val="32"/>
          <w:lang w:eastAsia="zh-CN"/>
        </w:rPr>
        <w:t>。</w:t>
      </w:r>
    </w:p>
    <w:p w14:paraId="1B988F0C">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2B6CBC1B">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11</w:t>
      </w: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eastAsia="zh-CN"/>
        </w:rPr>
        <w:t>计量检定业务经费</w:t>
      </w:r>
      <w:r>
        <w:rPr>
          <w:rFonts w:hint="eastAsia" w:ascii="TimesNewRoman" w:hAnsi="TimesNewRoman" w:eastAsia="仿宋_GB2312" w:cs="TimesNewRoman"/>
          <w:kern w:val="0"/>
          <w:sz w:val="32"/>
          <w:szCs w:val="32"/>
        </w:rPr>
        <w:t>”项目。</w:t>
      </w:r>
    </w:p>
    <w:p w14:paraId="6567CDCC">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项目概述。为了完成强制检定和仲裁检定等任务，为企、事业单位提高优质的服务，为我市经济发展服务的经常性项目。所发生的支出为开展计量检定业务过程中，发生的为保障所用仪器设备检测结果的准确性而产生的定期检测所支付的委托业务费及外地送检差旅费、检验所需的易耗专用材料费，检验用房的水、电、维修费，检测业务用仪器设备维修费,办公用房的物业管理费、为提高业务水平外出培训发生的差旅费，业务用交通工具的燃修费等各种支出。</w:t>
      </w:r>
    </w:p>
    <w:p w14:paraId="5A045D80">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2</w:t>
      </w:r>
      <w:r>
        <w:rPr>
          <w:rFonts w:hint="eastAsia" w:ascii="TimesNewRoman" w:hAnsi="TimesNewRoman" w:eastAsia="仿宋_GB2312" w:cs="TimesNewRoman"/>
          <w:kern w:val="0"/>
          <w:sz w:val="32"/>
          <w:szCs w:val="32"/>
        </w:rPr>
        <w:t>）立项依据。依据《中华人民共和国计量法》开展定量包装商品检验、计量检定等业务过程中，发生材料费，水、电、燃料费，检验用房维修费，仪器设备维修费,差旅费等各种费用</w:t>
      </w:r>
      <w:r>
        <w:rPr>
          <w:rFonts w:hint="eastAsia" w:ascii="TimesNewRoman" w:hAnsi="TimesNewRoman" w:eastAsia="仿宋_GB2312" w:cs="TimesNewRoman"/>
          <w:kern w:val="0"/>
          <w:sz w:val="32"/>
          <w:szCs w:val="32"/>
          <w:lang w:eastAsia="zh-CN"/>
        </w:rPr>
        <w:t>。</w:t>
      </w:r>
    </w:p>
    <w:p w14:paraId="001572C0">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（3）实施主体。淮北市计量测试研究所</w:t>
      </w:r>
    </w:p>
    <w:p w14:paraId="534BF531">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（4）起止时间。</w:t>
      </w:r>
      <w:r>
        <w:rPr>
          <w:rFonts w:hint="eastAsia" w:ascii="TimesNewRoman" w:hAnsi="TimesNewRoman" w:eastAsia="仿宋_GB2312" w:cs="TimesNewRoman"/>
          <w:kern w:val="0"/>
          <w:sz w:val="32"/>
          <w:szCs w:val="32"/>
          <w:lang w:val="en-US" w:eastAsia="zh-CN"/>
        </w:rPr>
        <w:t>2024年1月至12月</w:t>
      </w:r>
    </w:p>
    <w:p w14:paraId="328BF42A">
      <w:pPr>
        <w:ind w:firstLine="640" w:firstLineChars="200"/>
        <w:rPr>
          <w:rFonts w:hint="eastAsia" w:ascii="仿宋_GB2312" w:eastAsia="仿宋_GB2312"/>
          <w:sz w:val="32"/>
          <w:szCs w:val="32"/>
          <w:lang w:eastAsia="zh-CN"/>
        </w:rPr>
      </w:pPr>
      <w:r>
        <w:rPr>
          <w:rFonts w:hint="eastAsia" w:ascii="TimesNewRoman" w:hAnsi="TimesNewRoman" w:eastAsia="仿宋_GB2312" w:cs="TimesNewRoman"/>
          <w:kern w:val="0"/>
          <w:sz w:val="32"/>
          <w:szCs w:val="32"/>
        </w:rPr>
        <w:t>（5）项目内容。开展计量检定业务过程中，发生的为保障所用仪器设备检测结果的准确性而发生的定期检测所支付的委托业务费、检验所需的易耗材料费，检验用房的水、电、维修费，仪器设备维修费,办公用房的物业管理费、检验用交通工具的燃修等</w:t>
      </w:r>
      <w:r>
        <w:rPr>
          <w:rFonts w:hint="eastAsia" w:ascii="仿宋_GB2312" w:eastAsia="仿宋_GB2312"/>
          <w:sz w:val="32"/>
          <w:szCs w:val="32"/>
        </w:rPr>
        <w:t>各种支出</w:t>
      </w:r>
      <w:r>
        <w:rPr>
          <w:rFonts w:hint="eastAsia" w:ascii="仿宋_GB2312" w:eastAsia="仿宋_GB2312"/>
          <w:sz w:val="32"/>
          <w:szCs w:val="32"/>
          <w:lang w:eastAsia="zh-CN"/>
        </w:rPr>
        <w:t>。</w:t>
      </w:r>
    </w:p>
    <w:p w14:paraId="20670A5C">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56</w:t>
      </w:r>
      <w:r>
        <w:rPr>
          <w:rFonts w:hint="eastAsia" w:ascii="仿宋_GB2312" w:hAnsi="仿宋" w:eastAsia="仿宋_GB2312"/>
          <w:sz w:val="32"/>
          <w:szCs w:val="32"/>
        </w:rPr>
        <w:t>万元</w:t>
      </w:r>
    </w:p>
    <w:p w14:paraId="2C0D154D">
      <w:pPr>
        <w:ind w:left="525" w:leftChars="250" w:firstLine="160" w:firstLineChars="5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7）绩效目标。严按照计量器具检定规程等国家法律、法规开展检定和仲裁检定等任务。为企、事业单位提高优质的服务，减少企事业单位仪器设备检测费用支出，减少企事业单位送检仪器设备时间，降低仪器设备检定对企事业生产的影响，逐步提高企事业单位主动送检的意愿。</w:t>
      </w:r>
    </w:p>
    <w:p w14:paraId="0DAF1C39">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59A1E8F7">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w:t>
      </w:r>
      <w:r>
        <w:rPr>
          <w:rFonts w:hint="eastAsia" w:ascii="TimesNewRoman" w:hAnsi="TimesNewRoman" w:eastAsia="仿宋_GB2312" w:cs="TimesNewRoman"/>
          <w:kern w:val="0"/>
          <w:sz w:val="32"/>
          <w:szCs w:val="32"/>
          <w:lang w:val="en-US" w:eastAsia="zh-CN"/>
        </w:rPr>
        <w:t>2</w:t>
      </w:r>
      <w:r>
        <w:rPr>
          <w:rFonts w:hint="eastAsia" w:ascii="TimesNewRoman" w:hAnsi="TimesNewRoman" w:eastAsia="仿宋_GB2312" w:cs="TimesNewRoman"/>
          <w:kern w:val="0"/>
          <w:sz w:val="32"/>
          <w:szCs w:val="32"/>
        </w:rPr>
        <w:t>、“单位劳务保障支出”项目。</w:t>
      </w:r>
    </w:p>
    <w:p w14:paraId="2F5B76CB">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（1）项目概述。为</w:t>
      </w:r>
      <w:r>
        <w:rPr>
          <w:rFonts w:hint="eastAsia" w:ascii="TimesNewRoman" w:hAnsi="TimesNewRoman" w:eastAsia="仿宋_GB2312" w:cs="TimesNewRoman"/>
          <w:kern w:val="0"/>
          <w:sz w:val="32"/>
          <w:szCs w:val="32"/>
          <w:lang w:val="en-US" w:eastAsia="zh-CN"/>
        </w:rPr>
        <w:t>2024</w:t>
      </w:r>
      <w:r>
        <w:rPr>
          <w:rFonts w:hint="eastAsia" w:ascii="TimesNewRoman" w:hAnsi="TimesNewRoman" w:eastAsia="仿宋_GB2312" w:cs="TimesNewRoman"/>
          <w:kern w:val="0"/>
          <w:sz w:val="32"/>
          <w:szCs w:val="32"/>
        </w:rPr>
        <w:t>年能够顺利建标，从事动态汽车衡强制检定工作，需招聘一名特种专业检衡车驾驶员（需要A2驾照和叉车、吊车操作证）。月工资8000，餐补工会福利年约4000元，全年费用约10万元</w:t>
      </w:r>
      <w:r>
        <w:rPr>
          <w:rFonts w:hint="eastAsia" w:ascii="TimesNewRoman" w:hAnsi="TimesNewRoman" w:eastAsia="仿宋_GB2312" w:cs="TimesNewRoman"/>
          <w:kern w:val="0"/>
          <w:sz w:val="32"/>
          <w:szCs w:val="32"/>
          <w:lang w:eastAsia="zh-CN"/>
        </w:rPr>
        <w:t>。</w:t>
      </w:r>
    </w:p>
    <w:p w14:paraId="29315EB3">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（2）立项依据。我市有三、四百台动、静态汽车衡，</w:t>
      </w:r>
      <w:r>
        <w:rPr>
          <w:rFonts w:hint="eastAsia" w:ascii="TimesNewRoman" w:hAnsi="TimesNewRoman" w:eastAsia="仿宋_GB2312" w:cs="TimesNewRoman"/>
          <w:kern w:val="0"/>
          <w:sz w:val="32"/>
          <w:szCs w:val="32"/>
          <w:lang w:val="en-US" w:eastAsia="zh-CN"/>
        </w:rPr>
        <w:t>计量</w:t>
      </w:r>
      <w:r>
        <w:rPr>
          <w:rFonts w:hint="eastAsia" w:ascii="TimesNewRoman" w:hAnsi="TimesNewRoman" w:eastAsia="仿宋_GB2312" w:cs="TimesNewRoman"/>
          <w:kern w:val="0"/>
          <w:sz w:val="32"/>
          <w:szCs w:val="32"/>
        </w:rPr>
        <w:t>所因没有检衡车驾驶员（需要A2驾照和叉车、吊车操作证）动态汽车衡无法建标，就没有资质去检定，如省计量院来检定大概每年需要财政资金150余万元。2022年我市动态汽车衡检定费60多万（静态汽车衡除外），需上缴省财政，如果我所有了检定资质，可以从事相关检定工作，每年可为市财政减少至少六十多万支出。而且为了建立动态汽车衡计量标准，我所近两年已购买两辆特种作业车，花费财政资金140余万元，为</w:t>
      </w:r>
      <w:r>
        <w:rPr>
          <w:rFonts w:hint="eastAsia" w:ascii="TimesNewRoman" w:hAnsi="TimesNewRoman" w:eastAsia="仿宋_GB2312" w:cs="TimesNewRoman"/>
          <w:kern w:val="0"/>
          <w:sz w:val="32"/>
          <w:szCs w:val="32"/>
          <w:lang w:val="en-US" w:eastAsia="zh-CN"/>
        </w:rPr>
        <w:t>2024年</w:t>
      </w:r>
      <w:r>
        <w:rPr>
          <w:rFonts w:hint="eastAsia" w:ascii="TimesNewRoman" w:hAnsi="TimesNewRoman" w:eastAsia="仿宋_GB2312" w:cs="TimesNewRoman"/>
          <w:kern w:val="0"/>
          <w:sz w:val="32"/>
          <w:szCs w:val="32"/>
        </w:rPr>
        <w:t>能够顺利建标，需招聘一名特种专业检衡车驾驶经调查了解我省其他地市检衡车工资待遇，核定全年约需10万元。</w:t>
      </w:r>
    </w:p>
    <w:p w14:paraId="02ACE2EF">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（3）实施主体。</w:t>
      </w:r>
      <w:r>
        <w:rPr>
          <w:rFonts w:hint="eastAsia" w:ascii="TimesNewRoman" w:hAnsi="TimesNewRoman" w:eastAsia="仿宋_GB2312" w:cs="TimesNewRoman"/>
          <w:kern w:val="0"/>
          <w:sz w:val="32"/>
          <w:szCs w:val="32"/>
          <w:lang w:eastAsia="zh-CN"/>
        </w:rPr>
        <w:t>淮北市计量测试研究所</w:t>
      </w:r>
    </w:p>
    <w:p w14:paraId="7ADDC34C">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（4）起止时间。</w:t>
      </w:r>
      <w:r>
        <w:rPr>
          <w:rFonts w:hint="eastAsia" w:ascii="TimesNewRoman" w:hAnsi="TimesNewRoman" w:eastAsia="仿宋_GB2312" w:cs="TimesNewRoman"/>
          <w:kern w:val="0"/>
          <w:sz w:val="32"/>
          <w:szCs w:val="32"/>
          <w:lang w:val="en-US" w:eastAsia="zh-CN"/>
        </w:rPr>
        <w:t>2024年1月至12月</w:t>
      </w:r>
    </w:p>
    <w:p w14:paraId="2FED5773">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（5）项目内容。</w:t>
      </w:r>
      <w:r>
        <w:rPr>
          <w:rFonts w:hint="eastAsia" w:ascii="TimesNewRoman" w:hAnsi="TimesNewRoman" w:eastAsia="仿宋_GB2312" w:cs="TimesNewRoman"/>
          <w:kern w:val="0"/>
          <w:sz w:val="32"/>
          <w:szCs w:val="32"/>
          <w:lang w:eastAsia="zh-CN"/>
        </w:rPr>
        <w:t>单位聘用的专业检衡车驾驶员的工资社保支出。</w:t>
      </w:r>
    </w:p>
    <w:p w14:paraId="7469E921">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10</w:t>
      </w:r>
      <w:r>
        <w:rPr>
          <w:rFonts w:hint="eastAsia" w:ascii="仿宋_GB2312" w:hAnsi="仿宋" w:eastAsia="仿宋_GB2312"/>
          <w:sz w:val="32"/>
          <w:szCs w:val="32"/>
        </w:rPr>
        <w:t>万元</w:t>
      </w:r>
      <w:r>
        <w:rPr>
          <w:rFonts w:hint="eastAsia" w:ascii="TimesNewRoman" w:hAnsi="TimesNewRoman" w:eastAsia="仿宋_GB2312" w:cs="TimesNewRoman"/>
          <w:kern w:val="0"/>
          <w:sz w:val="32"/>
          <w:szCs w:val="32"/>
          <w:lang w:val="en-US" w:eastAsia="zh-CN"/>
        </w:rPr>
        <w:t>。</w:t>
      </w:r>
    </w:p>
    <w:p w14:paraId="0DE76890">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（7）绩效目标。</w:t>
      </w:r>
      <w:r>
        <w:rPr>
          <w:rFonts w:hint="eastAsia" w:ascii="TimesNewRoman" w:hAnsi="TimesNewRoman" w:eastAsia="仿宋_GB2312" w:cs="TimesNewRoman"/>
          <w:kern w:val="0"/>
          <w:sz w:val="32"/>
          <w:szCs w:val="32"/>
          <w:lang w:eastAsia="zh-CN"/>
        </w:rPr>
        <w:t>完成全市动态汽车衡强制检定工作，保证动态汽车衡称重准确可靠，维护国家集体个人合法利益，满足贸易结算和法治要求，为财政节约检测费用，推动经济发展。</w:t>
      </w:r>
    </w:p>
    <w:p w14:paraId="2F0EF009">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3D1E35AF">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w:t>
      </w: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、“国际消费者权益日经费及业务经费”项目。</w:t>
      </w:r>
    </w:p>
    <w:p w14:paraId="446BF656">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（1）项目概述。</w:t>
      </w:r>
      <w:r>
        <w:rPr>
          <w:rFonts w:hint="eastAsia" w:ascii="仿宋_GB2312" w:hAnsi="楷体" w:eastAsia="仿宋_GB2312"/>
          <w:sz w:val="32"/>
          <w:szCs w:val="32"/>
        </w:rPr>
        <w:t>在本行政区域内履行法律、法规、规章赋予消费者协会的职责</w:t>
      </w:r>
      <w:r>
        <w:rPr>
          <w:rFonts w:hint="eastAsia" w:ascii="仿宋_GB2312" w:hAnsi="楷体" w:eastAsia="仿宋_GB2312"/>
          <w:sz w:val="32"/>
          <w:szCs w:val="32"/>
          <w:lang w:eastAsia="zh-CN"/>
        </w:rPr>
        <w:t>。</w:t>
      </w:r>
    </w:p>
    <w:p w14:paraId="5B8D96A2">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（2）立项依据。</w:t>
      </w:r>
      <w:r>
        <w:rPr>
          <w:rFonts w:hint="eastAsia" w:ascii="仿宋_GB2312" w:hAnsi="楷体" w:eastAsia="仿宋_GB2312"/>
          <w:sz w:val="32"/>
          <w:szCs w:val="32"/>
        </w:rPr>
        <w:t xml:space="preserve">①《中华人民共和国消费者权益保护法》第三十七条规定消费者协会履行的八项公益性职责，第2款“各级人民政府对消费者协会履行职责应当予以必要的经费等支持。”                                                                               </w:t>
      </w:r>
      <w:r>
        <w:rPr>
          <w:rFonts w:hint="eastAsia" w:ascii="仿宋_GB2312" w:hAnsi="楷体" w:eastAsia="仿宋_GB2312"/>
          <w:sz w:val="32"/>
          <w:szCs w:val="32"/>
          <w:lang w:val="en-US" w:eastAsia="zh-CN"/>
        </w:rPr>
        <w:t xml:space="preserve">     </w:t>
      </w:r>
      <w:r>
        <w:rPr>
          <w:rFonts w:hint="eastAsia" w:ascii="仿宋_GB2312" w:hAnsi="楷体" w:eastAsia="仿宋_GB2312"/>
          <w:sz w:val="32"/>
          <w:szCs w:val="32"/>
        </w:rPr>
        <w:t>②</w:t>
      </w:r>
      <w:r>
        <w:rPr>
          <w:rFonts w:hint="eastAsia" w:ascii="仿宋_GB2312" w:hAnsi="楷体" w:eastAsia="仿宋_GB2312"/>
          <w:sz w:val="32"/>
          <w:szCs w:val="32"/>
          <w:lang w:val="en-US" w:eastAsia="zh-CN"/>
        </w:rPr>
        <w:t xml:space="preserve"> </w:t>
      </w:r>
      <w:r>
        <w:rPr>
          <w:rFonts w:hint="eastAsia" w:ascii="仿宋_GB2312" w:hAnsi="楷体" w:eastAsia="仿宋_GB2312"/>
          <w:sz w:val="32"/>
          <w:szCs w:val="32"/>
        </w:rPr>
        <w:t>《安徽省消费者权益保护条例》第四十六条规定了消费者权益保护委员会依法履行的十项公益性职责。第四十五条“县级以上人民政府应当为消费者权益保护委员会办事机构配备必要人员；消费者权益保护委员会履行法定职责所需经费由同级财</w:t>
      </w:r>
      <w:r>
        <w:rPr>
          <w:rFonts w:hint="eastAsia" w:ascii="仿宋_GB2312" w:hAnsi="楷体" w:eastAsia="仿宋_GB2312" w:cs="Times New Roman"/>
          <w:sz w:val="32"/>
          <w:szCs w:val="32"/>
        </w:rPr>
        <w:t>政予以保障。</w:t>
      </w:r>
      <w:r>
        <w:rPr>
          <w:rFonts w:hint="eastAsia" w:ascii="仿宋_GB2312" w:hAnsi="楷体" w:eastAsia="仿宋_GB2312"/>
          <w:sz w:val="32"/>
          <w:szCs w:val="32"/>
        </w:rPr>
        <w:t xml:space="preserve"> ”                                                                                                                                                                                                                  ③市人民政府文件：淮政办[2017]19号《淮北市人民政府办公室关于印发淮北市2017年3</w:t>
      </w:r>
      <w:r>
        <w:rPr>
          <w:rFonts w:hint="eastAsia" w:ascii="仿宋_GB2312" w:hAnsi="楷体" w:eastAsia="仿宋_GB2312"/>
          <w:sz w:val="32"/>
          <w:szCs w:val="32"/>
          <w:lang w:val="en-US" w:eastAsia="zh-CN"/>
        </w:rPr>
        <w:t>.</w:t>
      </w:r>
      <w:r>
        <w:rPr>
          <w:rFonts w:hint="eastAsia" w:ascii="仿宋_GB2312" w:hAnsi="楷体" w:eastAsia="仿宋_GB2312"/>
          <w:sz w:val="32"/>
          <w:szCs w:val="32"/>
        </w:rPr>
        <w:t>15国际消费者权益日纪念活动实施方案的通知》</w:t>
      </w:r>
      <w:r>
        <w:rPr>
          <w:rFonts w:hint="eastAsia" w:ascii="TimesNewRoman" w:hAnsi="TimesNewRoman" w:eastAsia="仿宋_GB2312" w:cs="TimesNewRoman"/>
          <w:kern w:val="0"/>
          <w:sz w:val="32"/>
          <w:szCs w:val="32"/>
          <w:lang w:eastAsia="zh-CN"/>
        </w:rPr>
        <w:t>。</w:t>
      </w:r>
    </w:p>
    <w:p w14:paraId="1BF8B122">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（3）实施主体。淮北市消费者权益保护委员会秘书处</w:t>
      </w:r>
    </w:p>
    <w:p w14:paraId="66472904">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（4）起止时间。</w:t>
      </w:r>
      <w:r>
        <w:rPr>
          <w:rFonts w:hint="eastAsia" w:ascii="仿宋_GB2312" w:hAnsi="楷体" w:eastAsia="仿宋_GB2312"/>
          <w:sz w:val="32"/>
          <w:szCs w:val="32"/>
          <w:lang w:val="en-US" w:eastAsia="zh-CN"/>
        </w:rPr>
        <w:t>2024年1月至12月</w:t>
      </w:r>
    </w:p>
    <w:p w14:paraId="63C47C96">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（5）项目内容。</w:t>
      </w:r>
      <w:r>
        <w:rPr>
          <w:rFonts w:hint="eastAsia" w:ascii="TimesNewRoman" w:hAnsi="TimesNewRoman" w:eastAsia="仿宋_GB2312" w:cs="TimesNewRoman"/>
          <w:kern w:val="0"/>
          <w:sz w:val="32"/>
          <w:szCs w:val="32"/>
          <w:lang w:val="en-US" w:eastAsia="zh-CN"/>
        </w:rPr>
        <w:t>印刷费4.11万元，差旅费1.50万元，办公费1.00万元，公务用车运行维护费0.50万元，会议费0.20万元，委托业务费8.30万元，培训费0.30万元，其他商品和服务支出2.00万元。</w:t>
      </w:r>
    </w:p>
    <w:p w14:paraId="6F91B313">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17.91</w:t>
      </w:r>
      <w:r>
        <w:rPr>
          <w:rFonts w:hint="eastAsia" w:ascii="仿宋_GB2312" w:hAnsi="仿宋" w:eastAsia="仿宋_GB2312"/>
          <w:sz w:val="32"/>
          <w:szCs w:val="32"/>
        </w:rPr>
        <w:t>万元</w:t>
      </w:r>
    </w:p>
    <w:p w14:paraId="71FCF9DC">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（7）绩效目标。组织全市年度3.15国际消费者权益日活动</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rPr>
        <w:t>对商品和服务进行监督检查</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rPr>
        <w:t>并调查评议组织放心消费创建活动</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rPr>
        <w:t>提高消费者维权意识和自我保护能力</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rPr>
        <w:t>营造诚信放心消费市场环境</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rPr>
        <w:t>做到消费投诉处置率100％</w:t>
      </w:r>
      <w:r>
        <w:rPr>
          <w:rFonts w:hint="eastAsia" w:ascii="TimesNewRoman" w:hAnsi="TimesNewRoman" w:eastAsia="仿宋_GB2312" w:cs="TimesNewRoman"/>
          <w:kern w:val="0"/>
          <w:sz w:val="32"/>
          <w:szCs w:val="32"/>
          <w:lang w:eastAsia="zh-CN"/>
        </w:rPr>
        <w:t>。</w:t>
      </w:r>
    </w:p>
    <w:p w14:paraId="35804E69">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54A52CD2">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w:t>
      </w: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特种设备监督检验经费</w:t>
      </w:r>
      <w:r>
        <w:rPr>
          <w:rFonts w:hint="eastAsia" w:ascii="TimesNewRoman" w:hAnsi="TimesNewRoman" w:eastAsia="仿宋_GB2312" w:cs="TimesNewRoman"/>
          <w:kern w:val="0"/>
          <w:sz w:val="32"/>
          <w:szCs w:val="32"/>
        </w:rPr>
        <w:t>”项目。</w:t>
      </w:r>
    </w:p>
    <w:p w14:paraId="1D7EC4E7">
      <w:pPr>
        <w:ind w:firstLine="640" w:firstLineChars="200"/>
        <w:rPr>
          <w:rFonts w:hint="eastAsia" w:ascii="TimesNewRoman" w:hAnsi="TimesNewRoman" w:eastAsia="仿宋_GB2312" w:cs="TimesNewRoman"/>
          <w:kern w:val="0"/>
          <w:sz w:val="32"/>
          <w:szCs w:val="32"/>
          <w:lang w:val="en-US"/>
        </w:rPr>
      </w:pPr>
      <w:r>
        <w:rPr>
          <w:rFonts w:hint="eastAsia" w:ascii="TimesNewRoman" w:hAnsi="TimesNewRoman" w:eastAsia="仿宋_GB2312" w:cs="TimesNewRoman"/>
          <w:kern w:val="0"/>
          <w:sz w:val="32"/>
          <w:szCs w:val="32"/>
        </w:rPr>
        <w:t>（1）项目概述。</w:t>
      </w:r>
      <w:r>
        <w:rPr>
          <w:rFonts w:hint="eastAsia" w:ascii="TimesNewRoman" w:hAnsi="TimesNewRoman" w:eastAsia="仿宋_GB2312" w:cs="TimesNewRoman"/>
          <w:kern w:val="0"/>
          <w:sz w:val="32"/>
          <w:szCs w:val="32"/>
          <w:lang w:val="en-US" w:eastAsia="zh-CN"/>
        </w:rPr>
        <w:t>该项目主要覆盖日常运转所需，主要科目包括办公费﹑水费﹑电费﹑物业管理费﹑差旅费﹑培训费﹑维修费﹑公务用车运行维护费及其他商品和服务支出等费用，用以维护检验业务正常运转。</w:t>
      </w:r>
    </w:p>
    <w:p w14:paraId="21FB015E">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立项依据。淮北市特种设备监督检验中心承担着淮北市锅炉、压力容器、压力管道、电梯、起重机械、场（厂）内机动车辆定期检验、监督检验；安全阀校验；特种设备作业人员考核以及国家市场监督管理局、省局、市政府及市局委托或安排的其他工作，为保障这些工作的正常</w:t>
      </w:r>
      <w:r>
        <w:rPr>
          <w:rFonts w:hint="eastAsia" w:ascii="TimesNewRoman" w:hAnsi="TimesNewRoman" w:eastAsia="仿宋_GB2312" w:cs="TimesNewRoman"/>
          <w:kern w:val="0"/>
          <w:sz w:val="32"/>
          <w:szCs w:val="32"/>
          <w:lang w:val="en-US" w:eastAsia="zh-CN"/>
        </w:rPr>
        <w:t>进行</w:t>
      </w: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会产生必要的支出，属于正常的机构运营成本</w:t>
      </w:r>
      <w:r>
        <w:rPr>
          <w:rFonts w:hint="eastAsia" w:ascii="TimesNewRoman" w:hAnsi="TimesNewRoman" w:eastAsia="仿宋_GB2312" w:cs="TimesNewRoman"/>
          <w:kern w:val="0"/>
          <w:sz w:val="32"/>
          <w:szCs w:val="32"/>
        </w:rPr>
        <w:t>。</w:t>
      </w:r>
    </w:p>
    <w:p w14:paraId="6EB3A103">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实施主体。</w:t>
      </w:r>
      <w:r>
        <w:rPr>
          <w:rFonts w:hint="eastAsia" w:ascii="TimesNewRoman" w:hAnsi="TimesNewRoman" w:eastAsia="仿宋_GB2312" w:cs="TimesNewRoman"/>
          <w:kern w:val="0"/>
          <w:sz w:val="32"/>
          <w:szCs w:val="32"/>
          <w:lang w:val="en-US" w:eastAsia="zh-CN"/>
        </w:rPr>
        <w:t>淮北市特种设备监督检验中心</w:t>
      </w:r>
    </w:p>
    <w:p w14:paraId="60F900BF">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起止时间。</w:t>
      </w:r>
      <w:r>
        <w:rPr>
          <w:rFonts w:hint="eastAsia" w:ascii="TimesNewRoman" w:hAnsi="TimesNewRoman" w:eastAsia="仿宋_GB2312" w:cs="TimesNewRoman"/>
          <w:kern w:val="0"/>
          <w:sz w:val="32"/>
          <w:szCs w:val="32"/>
          <w:lang w:val="en-US" w:eastAsia="zh-CN"/>
        </w:rPr>
        <w:t>2024年1月至12月</w:t>
      </w:r>
    </w:p>
    <w:p w14:paraId="215C64CF">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lang w:val="en-US" w:eastAsia="zh-CN"/>
        </w:rPr>
        <w:t>（5）</w:t>
      </w:r>
      <w:r>
        <w:rPr>
          <w:rFonts w:hint="eastAsia" w:ascii="TimesNewRoman" w:hAnsi="TimesNewRoman" w:eastAsia="仿宋_GB2312" w:cs="TimesNewRoman"/>
          <w:kern w:val="0"/>
          <w:sz w:val="32"/>
          <w:szCs w:val="32"/>
        </w:rPr>
        <w:t>项目内容。</w:t>
      </w:r>
      <w:r>
        <w:rPr>
          <w:rFonts w:hint="eastAsia" w:ascii="TimesNewRoman" w:hAnsi="TimesNewRoman" w:eastAsia="仿宋_GB2312" w:cs="TimesNewRoman"/>
          <w:kern w:val="0"/>
          <w:sz w:val="32"/>
          <w:szCs w:val="32"/>
          <w:lang w:val="en-US" w:eastAsia="zh-CN"/>
        </w:rPr>
        <w:t>主要包括办公费﹑水费﹑电费﹑物业管理费﹑差旅费﹑培训费﹑维修费﹑公务用车运行维护费及其他商品和服务支出等费用。</w:t>
      </w:r>
    </w:p>
    <w:p w14:paraId="32F3A9D7">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lang w:val="en-US" w:eastAsia="zh-CN"/>
        </w:rPr>
        <w:t>（6）</w:t>
      </w:r>
      <w:r>
        <w:rPr>
          <w:rFonts w:hint="eastAsia" w:ascii="TimesNewRoman" w:hAnsi="TimesNewRoman" w:eastAsia="仿宋_GB2312" w:cs="TimesNewRoman"/>
          <w:kern w:val="0"/>
          <w:sz w:val="32"/>
          <w:szCs w:val="32"/>
        </w:rPr>
        <w:t>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192.9</w:t>
      </w:r>
      <w:r>
        <w:rPr>
          <w:rFonts w:hint="eastAsia" w:ascii="仿宋_GB2312" w:hAnsi="仿宋" w:eastAsia="仿宋_GB2312"/>
          <w:sz w:val="32"/>
          <w:szCs w:val="32"/>
        </w:rPr>
        <w:t>万元</w:t>
      </w:r>
    </w:p>
    <w:p w14:paraId="3AB8E265">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lang w:val="en-US" w:eastAsia="zh-CN"/>
        </w:rPr>
        <w:t>（7）</w:t>
      </w:r>
      <w:r>
        <w:rPr>
          <w:rFonts w:hint="eastAsia" w:ascii="TimesNewRoman" w:hAnsi="TimesNewRoman" w:eastAsia="仿宋_GB2312" w:cs="TimesNewRoman"/>
          <w:kern w:val="0"/>
          <w:sz w:val="32"/>
          <w:szCs w:val="32"/>
        </w:rPr>
        <w:t>绩效目标。</w:t>
      </w:r>
      <w:r>
        <w:rPr>
          <w:rFonts w:hint="eastAsia" w:ascii="TimesNewRoman" w:hAnsi="TimesNewRoman" w:eastAsia="仿宋_GB2312" w:cs="TimesNewRoman"/>
          <w:kern w:val="0"/>
          <w:sz w:val="32"/>
          <w:szCs w:val="32"/>
          <w:lang w:val="en-US" w:eastAsia="zh-CN"/>
        </w:rPr>
        <w:t>保障特种设备监督检验工作正常运行。</w:t>
      </w:r>
    </w:p>
    <w:p w14:paraId="5ED3ED47">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559AEB28">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15</w:t>
      </w: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技术装备经费</w:t>
      </w:r>
      <w:r>
        <w:rPr>
          <w:rFonts w:hint="eastAsia" w:ascii="TimesNewRoman" w:hAnsi="TimesNewRoman" w:eastAsia="仿宋_GB2312" w:cs="TimesNewRoman"/>
          <w:kern w:val="0"/>
          <w:sz w:val="32"/>
          <w:szCs w:val="32"/>
        </w:rPr>
        <w:t>”项目。</w:t>
      </w:r>
    </w:p>
    <w:p w14:paraId="03BB7C4C">
      <w:pPr>
        <w:ind w:firstLine="640" w:firstLineChars="200"/>
        <w:rPr>
          <w:rFonts w:hint="eastAsia" w:ascii="TimesNewRoman" w:hAnsi="TimesNewRoman" w:eastAsia="仿宋_GB2312" w:cs="TimesNewRoman"/>
          <w:kern w:val="0"/>
          <w:sz w:val="32"/>
          <w:szCs w:val="32"/>
          <w:lang w:val="en-US"/>
        </w:rPr>
      </w:pPr>
      <w:r>
        <w:rPr>
          <w:rFonts w:hint="eastAsia" w:ascii="TimesNewRoman" w:hAnsi="TimesNewRoman" w:eastAsia="仿宋_GB2312" w:cs="TimesNewRoman"/>
          <w:kern w:val="0"/>
          <w:sz w:val="32"/>
          <w:szCs w:val="32"/>
        </w:rPr>
        <w:t>（1）项目概述。</w:t>
      </w:r>
      <w:r>
        <w:rPr>
          <w:rFonts w:hint="eastAsia" w:ascii="TimesNewRoman" w:hAnsi="TimesNewRoman" w:eastAsia="仿宋_GB2312" w:cs="TimesNewRoman"/>
          <w:kern w:val="0"/>
          <w:sz w:val="32"/>
          <w:szCs w:val="32"/>
          <w:lang w:val="en-US" w:eastAsia="zh-CN"/>
        </w:rPr>
        <w:t>该项目主要用于购买检验工作用专业设备。</w:t>
      </w:r>
    </w:p>
    <w:p w14:paraId="3ACBD0A3">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（2）立项依据。北市特种设备监督检验中心承担着淮北市锅炉、压力容器、压力管道、电梯、起重机械、场（厂）内机动车辆定期检验、监督检验；安全阀校验</w:t>
      </w:r>
      <w:r>
        <w:rPr>
          <w:rFonts w:hint="eastAsia" w:ascii="TimesNewRoman" w:hAnsi="TimesNewRoman" w:eastAsia="仿宋_GB2312" w:cs="TimesNewRoman"/>
          <w:kern w:val="0"/>
          <w:sz w:val="32"/>
          <w:szCs w:val="32"/>
          <w:lang w:val="en-US" w:eastAsia="zh-CN"/>
        </w:rPr>
        <w:t>等监督检验工作</w:t>
      </w:r>
      <w:r>
        <w:rPr>
          <w:rFonts w:hint="eastAsia" w:ascii="TimesNewRoman" w:hAnsi="TimesNewRoman" w:eastAsia="仿宋_GB2312" w:cs="TimesNewRoman"/>
          <w:kern w:val="0"/>
          <w:sz w:val="32"/>
          <w:szCs w:val="32"/>
        </w:rPr>
        <w:t>，为保障这些工作的正常</w:t>
      </w:r>
      <w:r>
        <w:rPr>
          <w:rFonts w:hint="eastAsia" w:ascii="TimesNewRoman" w:hAnsi="TimesNewRoman" w:eastAsia="仿宋_GB2312" w:cs="TimesNewRoman"/>
          <w:kern w:val="0"/>
          <w:sz w:val="32"/>
          <w:szCs w:val="32"/>
          <w:lang w:val="en-US" w:eastAsia="zh-CN"/>
        </w:rPr>
        <w:t>开展</w:t>
      </w:r>
      <w:r>
        <w:rPr>
          <w:rFonts w:hint="eastAsia" w:ascii="TimesNewRoman" w:hAnsi="TimesNewRoman" w:eastAsia="仿宋_GB2312" w:cs="TimesNewRoman"/>
          <w:kern w:val="0"/>
          <w:sz w:val="32"/>
          <w:szCs w:val="32"/>
        </w:rPr>
        <w:t>，本单位需要</w:t>
      </w:r>
      <w:r>
        <w:rPr>
          <w:rFonts w:hint="eastAsia" w:ascii="TimesNewRoman" w:hAnsi="TimesNewRoman" w:eastAsia="仿宋_GB2312" w:cs="TimesNewRoman"/>
          <w:kern w:val="0"/>
          <w:sz w:val="32"/>
          <w:szCs w:val="32"/>
          <w:lang w:val="en-US" w:eastAsia="zh-CN"/>
        </w:rPr>
        <w:t>具有相应的检验设备，并及时对老旧设备进行更新补充</w:t>
      </w:r>
      <w:r>
        <w:rPr>
          <w:rFonts w:hint="eastAsia" w:ascii="TimesNewRoman" w:hAnsi="TimesNewRoman" w:eastAsia="仿宋_GB2312" w:cs="TimesNewRoman"/>
          <w:kern w:val="0"/>
          <w:sz w:val="32"/>
          <w:szCs w:val="32"/>
        </w:rPr>
        <w:t>。</w:t>
      </w:r>
    </w:p>
    <w:p w14:paraId="246E0963">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实施主体。</w:t>
      </w:r>
      <w:r>
        <w:rPr>
          <w:rFonts w:hint="eastAsia" w:ascii="TimesNewRoman" w:hAnsi="TimesNewRoman" w:eastAsia="仿宋_GB2312" w:cs="TimesNewRoman"/>
          <w:kern w:val="0"/>
          <w:sz w:val="32"/>
          <w:szCs w:val="32"/>
          <w:lang w:val="en-US" w:eastAsia="zh-CN"/>
        </w:rPr>
        <w:t>淮北市特种设备监督检验中心</w:t>
      </w:r>
    </w:p>
    <w:p w14:paraId="0E30AC5C">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起止时间。</w:t>
      </w:r>
      <w:r>
        <w:rPr>
          <w:rFonts w:hint="eastAsia" w:ascii="TimesNewRoman" w:hAnsi="TimesNewRoman" w:eastAsia="仿宋_GB2312" w:cs="TimesNewRoman"/>
          <w:kern w:val="0"/>
          <w:sz w:val="32"/>
          <w:szCs w:val="32"/>
          <w:lang w:val="en-US" w:eastAsia="zh-CN"/>
        </w:rPr>
        <w:t>2024年1月至5月</w:t>
      </w:r>
    </w:p>
    <w:p w14:paraId="63DB5173">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lang w:val="en-US" w:eastAsia="zh-CN"/>
        </w:rPr>
        <w:t>（5）</w:t>
      </w:r>
      <w:r>
        <w:rPr>
          <w:rFonts w:hint="eastAsia" w:ascii="TimesNewRoman" w:hAnsi="TimesNewRoman" w:eastAsia="仿宋_GB2312" w:cs="TimesNewRoman"/>
          <w:kern w:val="0"/>
          <w:sz w:val="32"/>
          <w:szCs w:val="32"/>
        </w:rPr>
        <w:t>项目内容。</w:t>
      </w:r>
      <w:r>
        <w:rPr>
          <w:rFonts w:hint="eastAsia" w:ascii="TimesNewRoman" w:hAnsi="TimesNewRoman" w:eastAsia="仿宋_GB2312" w:cs="TimesNewRoman"/>
          <w:kern w:val="0"/>
          <w:sz w:val="32"/>
          <w:szCs w:val="32"/>
          <w:lang w:val="en-US" w:eastAsia="zh-CN"/>
        </w:rPr>
        <w:t>技术装备购置费</w:t>
      </w:r>
    </w:p>
    <w:p w14:paraId="0CCE4D9E">
      <w:pPr>
        <w:ind w:firstLine="640" w:firstLineChars="200"/>
        <w:rPr>
          <w:rFonts w:hint="eastAsia" w:ascii="仿宋_GB2312" w:hAnsi="仿宋" w:eastAsia="仿宋_GB2312"/>
          <w:sz w:val="32"/>
          <w:szCs w:val="32"/>
        </w:rPr>
      </w:pPr>
      <w:r>
        <w:rPr>
          <w:rFonts w:hint="eastAsia" w:ascii="TimesNewRoman" w:hAnsi="TimesNewRoman" w:eastAsia="仿宋_GB2312" w:cs="TimesNewRoman"/>
          <w:kern w:val="0"/>
          <w:sz w:val="32"/>
          <w:szCs w:val="32"/>
          <w:lang w:val="en-US" w:eastAsia="zh-CN"/>
        </w:rPr>
        <w:t>（6）</w:t>
      </w:r>
      <w:r>
        <w:rPr>
          <w:rFonts w:hint="eastAsia" w:ascii="TimesNewRoman" w:hAnsi="TimesNewRoman" w:eastAsia="仿宋_GB2312" w:cs="TimesNewRoman"/>
          <w:kern w:val="0"/>
          <w:sz w:val="32"/>
          <w:szCs w:val="32"/>
        </w:rPr>
        <w:t>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134.33</w:t>
      </w:r>
      <w:r>
        <w:rPr>
          <w:rFonts w:hint="eastAsia" w:ascii="仿宋_GB2312" w:hAnsi="仿宋" w:eastAsia="仿宋_GB2312"/>
          <w:sz w:val="32"/>
          <w:szCs w:val="32"/>
        </w:rPr>
        <w:t>万元</w:t>
      </w:r>
    </w:p>
    <w:p w14:paraId="30558B84">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（7）绩效目标。</w:t>
      </w:r>
      <w:r>
        <w:rPr>
          <w:rFonts w:hint="eastAsia" w:ascii="TimesNewRoman" w:hAnsi="TimesNewRoman" w:eastAsia="仿宋_GB2312" w:cs="TimesNewRoman"/>
          <w:kern w:val="0"/>
          <w:sz w:val="32"/>
          <w:szCs w:val="32"/>
          <w:lang w:val="en-US" w:eastAsia="zh-CN"/>
        </w:rPr>
        <w:t>提高特种设备监督检验工作效率，提升检验能力，从而能承担更多检验任务</w:t>
      </w:r>
      <w:r>
        <w:rPr>
          <w:rFonts w:hint="eastAsia" w:ascii="TimesNewRoman" w:hAnsi="TimesNewRoman" w:eastAsia="仿宋_GB2312" w:cs="TimesNewRoman"/>
          <w:kern w:val="0"/>
          <w:sz w:val="32"/>
          <w:szCs w:val="32"/>
        </w:rPr>
        <w:t>。</w:t>
      </w:r>
    </w:p>
    <w:p w14:paraId="001816DE">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3BD74F01">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16</w:t>
      </w: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单位运行劳务费</w:t>
      </w:r>
      <w:r>
        <w:rPr>
          <w:rFonts w:hint="eastAsia" w:ascii="TimesNewRoman" w:hAnsi="TimesNewRoman" w:eastAsia="仿宋_GB2312" w:cs="TimesNewRoman"/>
          <w:kern w:val="0"/>
          <w:sz w:val="32"/>
          <w:szCs w:val="32"/>
        </w:rPr>
        <w:t>”项目。</w:t>
      </w:r>
    </w:p>
    <w:p w14:paraId="5FFBA02E">
      <w:pPr>
        <w:ind w:firstLine="640" w:firstLineChars="200"/>
        <w:rPr>
          <w:rFonts w:hint="eastAsia" w:ascii="TimesNewRoman" w:hAnsi="TimesNewRoman" w:eastAsia="仿宋_GB2312" w:cs="TimesNewRoman"/>
          <w:kern w:val="0"/>
          <w:sz w:val="32"/>
          <w:szCs w:val="32"/>
          <w:lang w:val="en-US"/>
        </w:rPr>
      </w:pPr>
      <w:r>
        <w:rPr>
          <w:rFonts w:hint="eastAsia" w:ascii="TimesNewRoman" w:hAnsi="TimesNewRoman" w:eastAsia="仿宋_GB2312" w:cs="TimesNewRoman"/>
          <w:kern w:val="0"/>
          <w:sz w:val="32"/>
          <w:szCs w:val="32"/>
        </w:rPr>
        <w:t>（1）项目概述。</w:t>
      </w:r>
      <w:r>
        <w:rPr>
          <w:rFonts w:hint="eastAsia" w:ascii="TimesNewRoman" w:hAnsi="TimesNewRoman" w:eastAsia="仿宋_GB2312" w:cs="TimesNewRoman"/>
          <w:kern w:val="0"/>
          <w:sz w:val="32"/>
          <w:szCs w:val="32"/>
          <w:lang w:val="en-US" w:eastAsia="zh-CN"/>
        </w:rPr>
        <w:t>该项目主要支付聘用人员工资福利支出。</w:t>
      </w:r>
    </w:p>
    <w:p w14:paraId="586A5E10">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立项依据。淮北市特种设备监督检验中心承担着淮北市锅炉、压力容器、压力管道、电梯、起重机械、场（厂）内机动车辆定期检验、监督检验；安全阀校验；特种设备作业人员考核以及国家市场监督管理局、省局、市政府及市局委托或安排的其他工作，为保障这些工作的正常运行，本单位需要长期聘用相应数量的符合要求的检验人员。</w:t>
      </w:r>
    </w:p>
    <w:p w14:paraId="38FF7613">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实施主体。</w:t>
      </w:r>
      <w:r>
        <w:rPr>
          <w:rFonts w:hint="eastAsia" w:ascii="TimesNewRoman" w:hAnsi="TimesNewRoman" w:eastAsia="仿宋_GB2312" w:cs="TimesNewRoman"/>
          <w:kern w:val="0"/>
          <w:sz w:val="32"/>
          <w:szCs w:val="32"/>
          <w:lang w:val="en-US" w:eastAsia="zh-CN"/>
        </w:rPr>
        <w:t>淮北市特种设备监督检验中心</w:t>
      </w:r>
    </w:p>
    <w:p w14:paraId="11227265">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起止时间。</w:t>
      </w:r>
      <w:r>
        <w:rPr>
          <w:rFonts w:hint="eastAsia" w:ascii="TimesNewRoman" w:hAnsi="TimesNewRoman" w:eastAsia="仿宋_GB2312" w:cs="TimesNewRoman"/>
          <w:kern w:val="0"/>
          <w:sz w:val="32"/>
          <w:szCs w:val="32"/>
          <w:lang w:val="en-US" w:eastAsia="zh-CN"/>
        </w:rPr>
        <w:t>2024年1月至12月</w:t>
      </w:r>
    </w:p>
    <w:p w14:paraId="7BBE8395">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lang w:val="en-US" w:eastAsia="zh-CN"/>
        </w:rPr>
        <w:t>（5）</w:t>
      </w:r>
      <w:r>
        <w:rPr>
          <w:rFonts w:hint="eastAsia" w:ascii="TimesNewRoman" w:hAnsi="TimesNewRoman" w:eastAsia="仿宋_GB2312" w:cs="TimesNewRoman"/>
          <w:kern w:val="0"/>
          <w:sz w:val="32"/>
          <w:szCs w:val="32"/>
        </w:rPr>
        <w:t>项目内容。</w:t>
      </w:r>
      <w:r>
        <w:rPr>
          <w:rFonts w:hint="eastAsia" w:ascii="TimesNewRoman" w:hAnsi="TimesNewRoman" w:eastAsia="仿宋_GB2312" w:cs="TimesNewRoman"/>
          <w:kern w:val="0"/>
          <w:sz w:val="32"/>
          <w:szCs w:val="32"/>
          <w:lang w:val="en-US" w:eastAsia="zh-CN"/>
        </w:rPr>
        <w:t>劳务费</w:t>
      </w:r>
    </w:p>
    <w:p w14:paraId="7ED3501A">
      <w:pPr>
        <w:ind w:firstLine="640" w:firstLineChars="200"/>
        <w:rPr>
          <w:rFonts w:hint="eastAsia" w:ascii="仿宋_GB2312" w:hAnsi="仿宋" w:eastAsia="仿宋_GB2312"/>
          <w:sz w:val="32"/>
          <w:szCs w:val="32"/>
        </w:rPr>
      </w:pPr>
      <w:r>
        <w:rPr>
          <w:rFonts w:hint="eastAsia" w:ascii="TimesNewRoman" w:hAnsi="TimesNewRoman" w:eastAsia="仿宋_GB2312" w:cs="TimesNewRoman"/>
          <w:kern w:val="0"/>
          <w:sz w:val="32"/>
          <w:szCs w:val="32"/>
          <w:lang w:val="en-US" w:eastAsia="zh-CN"/>
        </w:rPr>
        <w:t>（6）</w:t>
      </w:r>
      <w:r>
        <w:rPr>
          <w:rFonts w:hint="eastAsia" w:ascii="TimesNewRoman" w:hAnsi="TimesNewRoman" w:eastAsia="仿宋_GB2312" w:cs="TimesNewRoman"/>
          <w:kern w:val="0"/>
          <w:sz w:val="32"/>
          <w:szCs w:val="32"/>
        </w:rPr>
        <w:t>年度预算安排</w:t>
      </w:r>
      <w:r>
        <w:rPr>
          <w:rFonts w:hint="eastAsia" w:ascii="TimesNewRoman" w:hAnsi="TimesNewRoman" w:eastAsia="仿宋_GB2312" w:cs="TimesNewRoman"/>
          <w:kern w:val="0"/>
          <w:sz w:val="32"/>
          <w:szCs w:val="32"/>
          <w:lang w:eastAsia="zh-CN"/>
        </w:rPr>
        <w:t>：</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385</w:t>
      </w:r>
      <w:r>
        <w:rPr>
          <w:rFonts w:hint="eastAsia" w:ascii="仿宋_GB2312" w:hAnsi="仿宋" w:eastAsia="仿宋_GB2312"/>
          <w:sz w:val="32"/>
          <w:szCs w:val="32"/>
        </w:rPr>
        <w:t>万元</w:t>
      </w:r>
    </w:p>
    <w:p w14:paraId="154711FD">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（7）绩效目标。保障聘用人员工资福利支出的正常发放，以支持特种设备监督检验工作正常开展。</w:t>
      </w:r>
    </w:p>
    <w:p w14:paraId="5E33B25B">
      <w:pPr>
        <w:ind w:firstLine="640" w:firstLineChars="200"/>
        <w:rPr>
          <w:rFonts w:hint="eastAsia" w:ascii="TimesNewRoman" w:hAnsi="TimesNewRoman" w:eastAsia="仿宋_GB2312" w:cs="TimesNewRoman"/>
          <w:kern w:val="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4DC27584">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w:t>
      </w:r>
      <w:r>
        <w:rPr>
          <w:rFonts w:hint="eastAsia" w:ascii="TimesNewRoman" w:hAnsi="TimesNewRoman" w:eastAsia="仿宋_GB2312" w:cs="TimesNewRoman"/>
          <w:kern w:val="0"/>
          <w:sz w:val="32"/>
          <w:szCs w:val="32"/>
          <w:lang w:val="en-US" w:eastAsia="zh-CN"/>
        </w:rPr>
        <w:t>7</w:t>
      </w:r>
      <w:r>
        <w:rPr>
          <w:rFonts w:hint="eastAsia" w:ascii="TimesNewRoman" w:hAnsi="TimesNewRoman" w:eastAsia="仿宋_GB2312" w:cs="TimesNewRoman"/>
          <w:kern w:val="0"/>
          <w:sz w:val="32"/>
          <w:szCs w:val="32"/>
        </w:rPr>
        <w:t>、“国家储备棉、监管棉公证检验经费(上级下拨资金)”项目。</w:t>
      </w:r>
    </w:p>
    <w:p w14:paraId="1B87F27B">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（1）项目概述。</w:t>
      </w:r>
      <w:r>
        <w:rPr>
          <w:rFonts w:hint="eastAsia" w:ascii="仿宋_GB2312" w:hAnsi="楷体" w:eastAsia="仿宋_GB2312"/>
          <w:sz w:val="32"/>
          <w:szCs w:val="32"/>
        </w:rPr>
        <w:t>为完成国家储备棉、监管棉公证检验，从经费上保障棉花公证检验工作，根据中国纤维质量监测中心计划，参加国家储备棉、监管棉公证检验工作</w:t>
      </w:r>
      <w:r>
        <w:rPr>
          <w:rFonts w:hint="eastAsia" w:ascii="仿宋_GB2312" w:hAnsi="楷体" w:eastAsia="仿宋_GB2312"/>
          <w:sz w:val="32"/>
          <w:szCs w:val="32"/>
          <w:lang w:eastAsia="zh-CN"/>
        </w:rPr>
        <w:t>。</w:t>
      </w:r>
    </w:p>
    <w:p w14:paraId="7DA98E9E">
      <w:pPr>
        <w:numPr>
          <w:ilvl w:val="0"/>
          <w:numId w:val="3"/>
        </w:num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立项依据。</w:t>
      </w:r>
      <w:r>
        <w:rPr>
          <w:rFonts w:hint="eastAsia" w:ascii="仿宋_GB2312" w:hAnsi="楷体" w:eastAsia="仿宋_GB2312"/>
          <w:sz w:val="32"/>
          <w:szCs w:val="32"/>
        </w:rPr>
        <w:t>《产品质量法》、《棉花监督管理条例》文件依据：《公证检验经费管理办法》</w:t>
      </w:r>
      <w:r>
        <w:rPr>
          <w:rFonts w:hint="eastAsia" w:ascii="仿宋_GB2312" w:hAnsi="楷体" w:eastAsia="仿宋_GB2312"/>
          <w:sz w:val="32"/>
          <w:szCs w:val="32"/>
          <w:lang w:eastAsia="zh-CN"/>
        </w:rPr>
        <w:t>。</w:t>
      </w:r>
    </w:p>
    <w:p w14:paraId="47CE0B11">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（3）实施主体。淮北市纤维检验所</w:t>
      </w:r>
    </w:p>
    <w:p w14:paraId="108DEE7F">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（4）起止时间。</w:t>
      </w:r>
      <w:r>
        <w:rPr>
          <w:rFonts w:hint="eastAsia" w:ascii="仿宋_GB2312" w:hAnsi="楷体" w:eastAsia="仿宋_GB2312"/>
          <w:sz w:val="32"/>
          <w:szCs w:val="32"/>
          <w:lang w:val="en-US" w:eastAsia="zh-CN"/>
        </w:rPr>
        <w:t>2024年1月至12月</w:t>
      </w:r>
    </w:p>
    <w:p w14:paraId="37CDDB77">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（5）项目内容。</w:t>
      </w:r>
      <w:r>
        <w:rPr>
          <w:rFonts w:hint="eastAsia" w:ascii="TimesNewRoman" w:hAnsi="TimesNewRoman" w:eastAsia="仿宋_GB2312" w:cs="TimesNewRoman"/>
          <w:kern w:val="0"/>
          <w:sz w:val="32"/>
          <w:szCs w:val="32"/>
          <w:lang w:val="en-US" w:eastAsia="zh-CN"/>
        </w:rPr>
        <w:t>办公费1.30万元，水电费10.40万元，物业管理费6.25万元，差旅费56.17万元，培训费0.52万元，邮电费3.45万元，委托业务费2.53万元，公务接待费0.80万元，维修（护）费0.50万元，专用材料费1.30万元，其他商品服务费5.04万元。</w:t>
      </w:r>
    </w:p>
    <w:p w14:paraId="29DDF6BF">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88.26</w:t>
      </w:r>
      <w:r>
        <w:rPr>
          <w:rFonts w:hint="eastAsia" w:ascii="仿宋_GB2312" w:hAnsi="仿宋" w:eastAsia="仿宋_GB2312"/>
          <w:sz w:val="32"/>
          <w:szCs w:val="32"/>
        </w:rPr>
        <w:t>万元</w:t>
      </w:r>
    </w:p>
    <w:p w14:paraId="53E4F456">
      <w:pPr>
        <w:numPr>
          <w:ilvl w:val="0"/>
          <w:numId w:val="4"/>
        </w:num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绩效目标。及时完成棉花公证检验、纤维及纤维制品监督抽查、委托检验</w:t>
      </w:r>
      <w:r>
        <w:rPr>
          <w:rFonts w:hint="eastAsia" w:ascii="TimesNewRoman" w:hAnsi="TimesNewRoman" w:eastAsia="仿宋_GB2312" w:cs="TimesNewRoman"/>
          <w:kern w:val="0"/>
          <w:sz w:val="32"/>
          <w:szCs w:val="32"/>
          <w:lang w:eastAsia="zh-CN"/>
        </w:rPr>
        <w:t>。</w:t>
      </w:r>
    </w:p>
    <w:p w14:paraId="13DA9173">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2132B231">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18</w:t>
      </w:r>
      <w:r>
        <w:rPr>
          <w:rFonts w:hint="eastAsia" w:ascii="TimesNewRoman" w:hAnsi="TimesNewRoman" w:eastAsia="仿宋_GB2312" w:cs="TimesNewRoman"/>
          <w:kern w:val="0"/>
          <w:sz w:val="32"/>
          <w:szCs w:val="32"/>
        </w:rPr>
        <w:t>、“单位劳务保障支出”项目。</w:t>
      </w:r>
    </w:p>
    <w:p w14:paraId="3E138015">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（1）项目概述。棉花公证检验以国家检验的形式，用最小的行政成本和财务成本，实现了效益最大化，公证检验从设计到运行，经过实践的检验，是一项行之有效、利国利民的制度。劳务费</w:t>
      </w:r>
      <w:r>
        <w:rPr>
          <w:rFonts w:hint="eastAsia" w:ascii="TimesNewRoman" w:hAnsi="TimesNewRoman" w:eastAsia="仿宋_GB2312" w:cs="TimesNewRoman"/>
          <w:kern w:val="0"/>
          <w:sz w:val="32"/>
          <w:szCs w:val="32"/>
          <w:lang w:val="en-US" w:eastAsia="zh-CN"/>
        </w:rPr>
        <w:t>33.07</w:t>
      </w:r>
      <w:r>
        <w:rPr>
          <w:rFonts w:hint="eastAsia" w:ascii="TimesNewRoman" w:hAnsi="TimesNewRoman" w:eastAsia="仿宋_GB2312" w:cs="TimesNewRoman"/>
          <w:kern w:val="0"/>
          <w:sz w:val="32"/>
          <w:szCs w:val="32"/>
        </w:rPr>
        <w:t>万元（包括短期和长期聘用人员劳务支出）</w:t>
      </w:r>
    </w:p>
    <w:p w14:paraId="1579CB61">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（2）立项依据。</w:t>
      </w:r>
      <w:r>
        <w:rPr>
          <w:rFonts w:hint="eastAsia" w:ascii="仿宋_GB2312" w:hAnsi="楷体" w:eastAsia="仿宋_GB2312"/>
          <w:sz w:val="32"/>
          <w:szCs w:val="32"/>
        </w:rPr>
        <w:t>《产品质量法》、《棉花监督管理条例》文件依据：《公证检验经费管理办法》</w:t>
      </w:r>
    </w:p>
    <w:p w14:paraId="01FA5190">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（3）实施主体。</w:t>
      </w:r>
      <w:r>
        <w:rPr>
          <w:rFonts w:hint="eastAsia" w:ascii="TimesNewRoman" w:hAnsi="TimesNewRoman" w:eastAsia="仿宋_GB2312" w:cs="TimesNewRoman"/>
          <w:kern w:val="0"/>
          <w:sz w:val="32"/>
          <w:szCs w:val="32"/>
          <w:lang w:val="en-US" w:eastAsia="zh-CN"/>
        </w:rPr>
        <w:t>淮北市纤维检验所</w:t>
      </w:r>
    </w:p>
    <w:p w14:paraId="330B49D0">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（4）起止时间。</w:t>
      </w:r>
      <w:r>
        <w:rPr>
          <w:rFonts w:hint="eastAsia" w:ascii="仿宋_GB2312" w:hAnsi="楷体" w:eastAsia="仿宋_GB2312"/>
          <w:sz w:val="32"/>
          <w:szCs w:val="32"/>
          <w:lang w:val="en-US" w:eastAsia="zh-CN"/>
        </w:rPr>
        <w:t>2024年1月至12月</w:t>
      </w:r>
    </w:p>
    <w:p w14:paraId="7C9CD13B">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（5）项目内容。</w:t>
      </w:r>
      <w:r>
        <w:rPr>
          <w:rFonts w:hint="eastAsia" w:ascii="TimesNewRoman" w:hAnsi="TimesNewRoman" w:eastAsia="仿宋_GB2312" w:cs="TimesNewRoman"/>
          <w:kern w:val="0"/>
          <w:sz w:val="32"/>
          <w:szCs w:val="32"/>
          <w:lang w:val="en-US" w:eastAsia="zh-CN"/>
        </w:rPr>
        <w:t>劳务费33.07万元。</w:t>
      </w:r>
    </w:p>
    <w:p w14:paraId="5E0A77BD">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33.07</w:t>
      </w:r>
      <w:r>
        <w:rPr>
          <w:rFonts w:hint="eastAsia" w:ascii="仿宋_GB2312" w:hAnsi="仿宋" w:eastAsia="仿宋_GB2312"/>
          <w:sz w:val="32"/>
          <w:szCs w:val="32"/>
        </w:rPr>
        <w:t>万元</w:t>
      </w:r>
    </w:p>
    <w:p w14:paraId="1B899C79">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（7）绩效目标。保障聘用人员工资福利支出的正常发放，以保障棉花公证检验</w:t>
      </w:r>
      <w:r>
        <w:rPr>
          <w:rFonts w:hint="eastAsia" w:ascii="TimesNewRoman" w:hAnsi="TimesNewRoman" w:eastAsia="仿宋_GB2312" w:cs="TimesNewRoman"/>
          <w:kern w:val="0"/>
          <w:sz w:val="32"/>
          <w:szCs w:val="32"/>
          <w:lang w:val="en-US" w:eastAsia="zh-CN"/>
        </w:rPr>
        <w:t>工作正常开展</w:t>
      </w:r>
      <w:r>
        <w:rPr>
          <w:rFonts w:hint="eastAsia" w:ascii="TimesNewRoman" w:hAnsi="TimesNewRoman" w:eastAsia="仿宋_GB2312" w:cs="TimesNewRoman"/>
          <w:kern w:val="0"/>
          <w:sz w:val="32"/>
          <w:szCs w:val="32"/>
        </w:rPr>
        <w:t>。</w:t>
      </w:r>
    </w:p>
    <w:p w14:paraId="7E181315">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1ECC2755">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w:t>
      </w:r>
      <w:r>
        <w:rPr>
          <w:rFonts w:hint="eastAsia" w:ascii="TimesNewRoman" w:hAnsi="TimesNewRoman" w:eastAsia="仿宋_GB2312" w:cs="TimesNewRoman"/>
          <w:kern w:val="0"/>
          <w:sz w:val="32"/>
          <w:szCs w:val="32"/>
          <w:lang w:val="en-US" w:eastAsia="zh-CN"/>
        </w:rPr>
        <w:t>9</w:t>
      </w:r>
      <w:r>
        <w:rPr>
          <w:rFonts w:hint="eastAsia" w:ascii="TimesNewRoman" w:hAnsi="TimesNewRoman" w:eastAsia="仿宋_GB2312" w:cs="TimesNewRoman"/>
          <w:kern w:val="0"/>
          <w:sz w:val="32"/>
          <w:szCs w:val="32"/>
        </w:rPr>
        <w:t>、“药品检验检测能力建设提升专项经费”项目。</w:t>
      </w:r>
    </w:p>
    <w:p w14:paraId="542E61C8">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1）项目概述。市食品药品检验中心承担食品、药品、医疗器械、中药和化妆品的检验任务，为全市食品药品监管提供技术支撑。目前，食品药品检验检测能力已成为监管瓶颈。为加快提升我市药品检验检测能力</w:t>
      </w:r>
      <w:r>
        <w:rPr>
          <w:rFonts w:hint="eastAsia" w:ascii="TimesNewRoman" w:hAnsi="TimesNewRoman" w:eastAsia="仿宋_GB2312" w:cs="TimesNewRoman"/>
          <w:kern w:val="0"/>
          <w:sz w:val="32"/>
          <w:szCs w:val="32"/>
          <w:lang w:eastAsia="zh-CN"/>
        </w:rPr>
        <w:t>。</w:t>
      </w:r>
    </w:p>
    <w:p w14:paraId="470215CA">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2</w:t>
      </w:r>
      <w:r>
        <w:rPr>
          <w:rFonts w:hint="eastAsia" w:ascii="TimesNewRoman" w:hAnsi="TimesNewRoman" w:eastAsia="仿宋_GB2312" w:cs="TimesNewRoman"/>
          <w:kern w:val="0"/>
          <w:sz w:val="32"/>
          <w:szCs w:val="32"/>
        </w:rPr>
        <w:t>）立项依据。国务院办公厅于5月10日发布了《关于全面加强药品监管能力建设的实施意见》（国办发〔2021〕16号），在重点任务中明确提出“提高检验检测能力”。省药监局在《关于全面加强药品监管能力建设具体举措》中要求各级政府在经费方面予以保障</w:t>
      </w:r>
      <w:r>
        <w:rPr>
          <w:rFonts w:hint="eastAsia" w:ascii="TimesNewRoman" w:hAnsi="TimesNewRoman" w:eastAsia="仿宋_GB2312" w:cs="TimesNewRoman"/>
          <w:kern w:val="0"/>
          <w:sz w:val="32"/>
          <w:szCs w:val="32"/>
          <w:lang w:eastAsia="zh-CN"/>
        </w:rPr>
        <w:t>。</w:t>
      </w:r>
    </w:p>
    <w:p w14:paraId="6B29127A">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（3）实施主体。淮北市食品药品检验中心</w:t>
      </w:r>
    </w:p>
    <w:p w14:paraId="19AF7BA9">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（4）起止时间。</w:t>
      </w:r>
      <w:r>
        <w:rPr>
          <w:rFonts w:hint="eastAsia" w:ascii="TimesNewRoman" w:hAnsi="TimesNewRoman" w:eastAsia="仿宋_GB2312" w:cs="TimesNewRoman"/>
          <w:kern w:val="0"/>
          <w:sz w:val="32"/>
          <w:szCs w:val="32"/>
          <w:lang w:val="en-US" w:eastAsia="zh-CN"/>
        </w:rPr>
        <w:t>2024年1月至12月</w:t>
      </w:r>
    </w:p>
    <w:p w14:paraId="35509658">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（5）项目内容。加强药品（含医疗器械、化妆品）及时完成药品检验、食品监督抽查验</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lang w:val="en-US" w:eastAsia="zh-CN"/>
        </w:rPr>
        <w:t>专用设备购置25万元。</w:t>
      </w:r>
    </w:p>
    <w:p w14:paraId="49B578CE">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25</w:t>
      </w:r>
      <w:r>
        <w:rPr>
          <w:rFonts w:hint="eastAsia" w:ascii="仿宋_GB2312" w:hAnsi="仿宋" w:eastAsia="仿宋_GB2312"/>
          <w:sz w:val="32"/>
          <w:szCs w:val="32"/>
        </w:rPr>
        <w:t>万元</w:t>
      </w:r>
    </w:p>
    <w:p w14:paraId="48A4249F">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（7）绩效目标。加强药品（含医疗器械、化妆品）及时完成药品检验、食品监督抽查验</w:t>
      </w:r>
      <w:r>
        <w:rPr>
          <w:rFonts w:hint="eastAsia" w:ascii="TimesNewRoman" w:hAnsi="TimesNewRoman" w:eastAsia="仿宋_GB2312" w:cs="TimesNewRoman"/>
          <w:kern w:val="0"/>
          <w:sz w:val="32"/>
          <w:szCs w:val="32"/>
          <w:lang w:eastAsia="zh-CN"/>
        </w:rPr>
        <w:t>。</w:t>
      </w:r>
    </w:p>
    <w:tbl>
      <w:tblPr>
        <w:tblStyle w:val="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741"/>
      </w:tblGrid>
      <w:tr w14:paraId="25A37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5000" w:type="pct"/>
            <w:tcBorders>
              <w:top w:val="nil"/>
              <w:left w:val="nil"/>
              <w:bottom w:val="nil"/>
              <w:right w:val="nil"/>
            </w:tcBorders>
            <w:noWrap/>
            <w:vAlign w:val="center"/>
          </w:tcPr>
          <w:p w14:paraId="4F8E57E4">
            <w:pPr>
              <w:ind w:firstLine="640" w:firstLineChars="200"/>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34AEC219">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、“单位劳务保障支出”项目。</w:t>
            </w:r>
          </w:p>
          <w:p w14:paraId="7F028E39">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（1）项目概述。足额及时发放聘用人员支出，保障检验工作的顺利进行</w:t>
            </w:r>
            <w:r>
              <w:rPr>
                <w:rFonts w:hint="eastAsia" w:ascii="TimesNewRoman" w:hAnsi="TimesNewRoman" w:eastAsia="仿宋_GB2312" w:cs="TimesNewRoman"/>
                <w:kern w:val="0"/>
                <w:sz w:val="32"/>
                <w:szCs w:val="32"/>
                <w:lang w:eastAsia="zh-CN"/>
              </w:rPr>
              <w:t>。</w:t>
            </w:r>
          </w:p>
          <w:p w14:paraId="2843CC81">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（2）立项依据。</w:t>
            </w:r>
            <w:r>
              <w:rPr>
                <w:rFonts w:hint="eastAsia" w:ascii="TimesNewRoman" w:hAnsi="TimesNewRoman" w:eastAsia="仿宋_GB2312" w:cs="TimesNewRoman"/>
                <w:kern w:val="0"/>
                <w:sz w:val="32"/>
                <w:szCs w:val="32"/>
                <w:lang w:eastAsia="zh-CN"/>
              </w:rPr>
              <w:t>解决机构改革后人员保障，确保食品药品检验工作正常运行。</w:t>
            </w:r>
          </w:p>
          <w:p w14:paraId="41C4F8E7">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（3）实施主体。淮北市食品药品检验中心</w:t>
            </w:r>
          </w:p>
          <w:p w14:paraId="20E78E7C">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（4）起止时间。</w:t>
            </w:r>
            <w:r>
              <w:rPr>
                <w:rFonts w:hint="eastAsia" w:ascii="TimesNewRoman" w:hAnsi="TimesNewRoman" w:eastAsia="仿宋_GB2312" w:cs="TimesNewRoman"/>
                <w:kern w:val="0"/>
                <w:sz w:val="32"/>
                <w:szCs w:val="32"/>
                <w:lang w:val="en-US" w:eastAsia="zh-CN"/>
              </w:rPr>
              <w:t>2024年1月至12月</w:t>
            </w:r>
          </w:p>
          <w:p w14:paraId="2F29607C">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（5）项目内容。足额及时发放聘用人员支出，保障检验工作的顺利进行</w:t>
            </w:r>
            <w:r>
              <w:rPr>
                <w:rFonts w:hint="eastAsia" w:ascii="TimesNewRoman" w:hAnsi="TimesNewRoman" w:eastAsia="仿宋_GB2312" w:cs="TimesNewRoman"/>
                <w:kern w:val="0"/>
                <w:sz w:val="32"/>
                <w:szCs w:val="32"/>
                <w:lang w:eastAsia="zh-CN"/>
              </w:rPr>
              <w:t>。</w:t>
            </w:r>
          </w:p>
          <w:p w14:paraId="10187A42">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（6）年度预算安排。</w:t>
            </w:r>
            <w:r>
              <w:rPr>
                <w:rFonts w:hint="eastAsia"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年预算安排</w:t>
            </w:r>
            <w:r>
              <w:rPr>
                <w:rFonts w:hint="eastAsia" w:ascii="仿宋_GB2312" w:hAnsi="仿宋" w:eastAsia="仿宋_GB2312"/>
                <w:sz w:val="32"/>
                <w:szCs w:val="32"/>
                <w:lang w:val="en-US" w:eastAsia="zh-CN"/>
              </w:rPr>
              <w:t>12</w:t>
            </w:r>
            <w:r>
              <w:rPr>
                <w:rFonts w:hint="eastAsia" w:ascii="仿宋_GB2312" w:hAnsi="仿宋" w:eastAsia="仿宋_GB2312"/>
                <w:sz w:val="32"/>
                <w:szCs w:val="32"/>
              </w:rPr>
              <w:t>万元</w:t>
            </w:r>
          </w:p>
          <w:p w14:paraId="6945DAD4">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（7）绩效目标。足额及时发放聘用人员支出，保障检验工作的顺利</w:t>
            </w:r>
            <w:r>
              <w:rPr>
                <w:rFonts w:hint="eastAsia" w:ascii="TimesNewRoman" w:hAnsi="TimesNewRoman" w:eastAsia="仿宋_GB2312" w:cs="TimesNewRoman"/>
                <w:kern w:val="0"/>
                <w:sz w:val="32"/>
                <w:szCs w:val="32"/>
                <w:lang w:val="en-US" w:eastAsia="zh-CN"/>
              </w:rPr>
              <w:t>开展。</w:t>
            </w:r>
          </w:p>
          <w:p w14:paraId="1363C4E5">
            <w:pPr>
              <w:ind w:firstLine="640" w:firstLineChars="200"/>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6661F00C">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lang w:val="en-US" w:eastAsia="zh-CN"/>
              </w:rPr>
              <w:t>21</w:t>
            </w:r>
            <w:r>
              <w:rPr>
                <w:rFonts w:hint="eastAsia" w:ascii="TimesNewRoman" w:hAnsi="TimesNewRoman" w:eastAsia="仿宋_GB2312" w:cs="TimesNewRoman"/>
                <w:kern w:val="0"/>
                <w:sz w:val="32"/>
                <w:szCs w:val="32"/>
              </w:rPr>
              <w:t>、“市场监管综合执法办案经费”项目。</w:t>
            </w:r>
          </w:p>
          <w:p w14:paraId="37B0FDC1">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项目概述。依法承担对市辖区、市高新区、煤化工基地的工商、质检、食品、药品、价格、商标、专利、盐业等领域和打击侵犯知识产权、打击制售假冒伪劣商品以及查处非法从事成品油经营行为的行政执法工作；负责组织开展全市市场监管重大执法行动和专项执法监督检查行动；组织协调跨部门、跨区域、跨省际市场监管行政执法工作，参与市场监管领域突发性事件的应急处置工作；负责全市市场监管综合行政执法规范化建设和综合行政执法法制监督工作；承办上级交办、督办和有关部门移交的各类案件的查处、交办、督办工作；依法监督检查、指导下级部门案件查处等工作。</w:t>
            </w:r>
          </w:p>
          <w:p w14:paraId="058BCB3D">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立项依据。依据《中共中央办公厅、国务院办公厅印发&lt;关于深化市场监管综合行政执法改革的指导意见&gt;的通知（中办发〔2018〕62号）、《中共淮北市委办公室、淮北市人民政府办公室印发《关于深化全市市场监管综合行政执法改革的实施方案》的通知》（淮办发〔2019〕27号）要求，整合工商、质检、食品、药品、价格、商标、专利、盐业、商务等领域执法职责，组建市场监管综合执法队伍，行使行政处罚权以及相关的行政检查、行政强制权，包括投诉举报的受理和行政处罚案件的立案、调查、处罚等。</w:t>
            </w:r>
          </w:p>
          <w:p w14:paraId="49D2FEDF">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（3）实施主体。</w:t>
            </w:r>
            <w:r>
              <w:rPr>
                <w:rFonts w:hint="eastAsia" w:ascii="TimesNewRoman" w:hAnsi="TimesNewRoman" w:eastAsia="仿宋_GB2312" w:cs="TimesNewRoman"/>
                <w:kern w:val="0"/>
                <w:sz w:val="32"/>
                <w:szCs w:val="32"/>
                <w:lang w:eastAsia="zh-CN"/>
              </w:rPr>
              <w:t>淮北市市场监管综合行政执法支队</w:t>
            </w:r>
          </w:p>
          <w:p w14:paraId="173A8850">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（4）起止时间。</w:t>
            </w:r>
            <w:r>
              <w:rPr>
                <w:rFonts w:hint="eastAsia" w:ascii="TimesNewRoman" w:hAnsi="TimesNewRoman" w:eastAsia="仿宋_GB2312" w:cs="TimesNewRoman"/>
                <w:kern w:val="0"/>
                <w:sz w:val="32"/>
                <w:szCs w:val="32"/>
                <w:lang w:val="en-US" w:eastAsia="zh-CN"/>
              </w:rPr>
              <w:t>2024年1月至12月</w:t>
            </w:r>
          </w:p>
          <w:p w14:paraId="481530E1">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5）项目内容。严格履行执法责任，依法严惩食品药品安全、消费品质量安全、特种设备安全等领域违法行为；严厉打击商标侵权、假冒专利、制假售假、虚假宣传等违法行为；严格执法标准，对达不到产品与服务标准自我声明内容的企业予以通报等相应处罚，并计入企业诚信档案；严肃查处利用市场优势地位实施垄断牟取超额利润的违法行为； 严肃查处采取不正当手段破坏公平竞争、损害消费者权益和价格违法等行为；严肃查处无照生产经营和相关无证生产经营行为，以严格执法促进质量提升。开展市场整治；日常执法巡查、监管；违法案件查处。通过整顿和规范市场秩序，打击违法行为，保护公平竞争，促进经济有序发展，净化市场，保障人民权益。</w:t>
            </w:r>
          </w:p>
          <w:p w14:paraId="037EE579">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（6）年度预算安排。</w:t>
            </w:r>
            <w:r>
              <w:rPr>
                <w:rFonts w:hint="eastAsia" w:ascii="TimesNewRoman" w:hAnsi="TimesNewRoman" w:eastAsia="仿宋_GB2312" w:cs="TimesNewRoman"/>
                <w:kern w:val="0"/>
                <w:sz w:val="32"/>
                <w:szCs w:val="32"/>
                <w:lang w:val="en-US" w:eastAsia="zh-CN"/>
              </w:rPr>
              <w:t>2024年预算安排77.98万元</w:t>
            </w:r>
          </w:p>
          <w:p w14:paraId="6292593B">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7）绩效目标。规范和维护各类市场经营秩序，依法查处食品药品医疗器械化妆品安全、消费品质量安全、特种设备安全、商标侵权、假冒专利、制假售假、不正当竞争、损害消费者权益和价格、无证照生产经营等各类经济违法行为，做到违法行为立案查处率100％。</w:t>
            </w:r>
          </w:p>
          <w:p w14:paraId="7B2A0A6C">
            <w:pPr>
              <w:ind w:firstLine="640" w:firstLineChars="200"/>
              <w:rPr>
                <w:rFonts w:hint="eastAsia" w:ascii="TimesNewRoman" w:hAnsi="TimesNewRoman" w:eastAsia="仿宋_GB2312" w:cs="TimesNewRoman"/>
                <w:kern w:val="0"/>
                <w:sz w:val="32"/>
                <w:szCs w:val="32"/>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tc>
      </w:tr>
    </w:tbl>
    <w:p w14:paraId="35E6C965">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w:t>
      </w:r>
      <w:r>
        <w:rPr>
          <w:rFonts w:hint="eastAsia" w:ascii="TimesNewRoman" w:hAnsi="TimesNewRoman" w:eastAsia="仿宋_GB2312" w:cs="TimesNewRoman"/>
          <w:kern w:val="0"/>
          <w:sz w:val="32"/>
          <w:szCs w:val="32"/>
          <w:lang w:val="en-US" w:eastAsia="zh-CN"/>
        </w:rPr>
        <w:t>2</w:t>
      </w: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eastAsia="zh-CN"/>
        </w:rPr>
        <w:t>“</w:t>
      </w:r>
      <w:r>
        <w:rPr>
          <w:rFonts w:hint="eastAsia" w:ascii="TimesNewRoman" w:hAnsi="TimesNewRoman" w:eastAsia="仿宋_GB2312" w:cs="TimesNewRoman"/>
          <w:kern w:val="0"/>
          <w:sz w:val="32"/>
          <w:szCs w:val="32"/>
        </w:rPr>
        <w:t>单位劳务保障支出”项目。</w:t>
      </w:r>
    </w:p>
    <w:p w14:paraId="73E30D55">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（1）项目概述。三名劳务派遣人员2024年度工资及保险费用。每年保险费用3</w:t>
      </w:r>
      <w:r>
        <w:rPr>
          <w:rFonts w:hint="eastAsia" w:ascii="TimesNewRoman" w:hAnsi="TimesNewRoman" w:eastAsia="仿宋_GB2312" w:cs="TimesNewRoman"/>
          <w:kern w:val="0"/>
          <w:sz w:val="32"/>
          <w:szCs w:val="32"/>
          <w:lang w:val="en-US" w:eastAsia="zh-CN"/>
        </w:rPr>
        <w:t>.</w:t>
      </w:r>
      <w:r>
        <w:rPr>
          <w:rFonts w:hint="eastAsia" w:ascii="TimesNewRoman" w:hAnsi="TimesNewRoman" w:eastAsia="仿宋_GB2312" w:cs="TimesNewRoman"/>
          <w:kern w:val="0"/>
          <w:sz w:val="32"/>
          <w:szCs w:val="32"/>
        </w:rPr>
        <w:t>56</w:t>
      </w:r>
      <w:r>
        <w:rPr>
          <w:rFonts w:hint="eastAsia" w:ascii="TimesNewRoman" w:hAnsi="TimesNewRoman" w:eastAsia="仿宋_GB2312" w:cs="TimesNewRoman"/>
          <w:kern w:val="0"/>
          <w:sz w:val="32"/>
          <w:szCs w:val="32"/>
          <w:lang w:val="en-US" w:eastAsia="zh-CN"/>
        </w:rPr>
        <w:t>万</w:t>
      </w:r>
      <w:r>
        <w:rPr>
          <w:rFonts w:hint="eastAsia" w:ascii="TimesNewRoman" w:hAnsi="TimesNewRoman" w:eastAsia="仿宋_GB2312" w:cs="TimesNewRoman"/>
          <w:kern w:val="0"/>
          <w:sz w:val="32"/>
          <w:szCs w:val="32"/>
        </w:rPr>
        <w:t>元，工资8</w:t>
      </w:r>
      <w:r>
        <w:rPr>
          <w:rFonts w:hint="eastAsia" w:ascii="TimesNewRoman" w:hAnsi="TimesNewRoman" w:eastAsia="仿宋_GB2312" w:cs="TimesNewRoman"/>
          <w:kern w:val="0"/>
          <w:sz w:val="32"/>
          <w:szCs w:val="32"/>
          <w:lang w:val="en-US" w:eastAsia="zh-CN"/>
        </w:rPr>
        <w:t>.</w:t>
      </w:r>
      <w:r>
        <w:rPr>
          <w:rFonts w:hint="eastAsia" w:ascii="TimesNewRoman" w:hAnsi="TimesNewRoman" w:eastAsia="仿宋_GB2312" w:cs="TimesNewRoman"/>
          <w:kern w:val="0"/>
          <w:sz w:val="32"/>
          <w:szCs w:val="32"/>
        </w:rPr>
        <w:t>46</w:t>
      </w:r>
      <w:r>
        <w:rPr>
          <w:rFonts w:hint="eastAsia" w:ascii="TimesNewRoman" w:hAnsi="TimesNewRoman" w:eastAsia="仿宋_GB2312" w:cs="TimesNewRoman"/>
          <w:kern w:val="0"/>
          <w:sz w:val="32"/>
          <w:szCs w:val="32"/>
          <w:lang w:val="en-US" w:eastAsia="zh-CN"/>
        </w:rPr>
        <w:t>万</w:t>
      </w:r>
      <w:r>
        <w:rPr>
          <w:rFonts w:hint="eastAsia" w:ascii="TimesNewRoman" w:hAnsi="TimesNewRoman" w:eastAsia="仿宋_GB2312" w:cs="TimesNewRoman"/>
          <w:kern w:val="0"/>
          <w:sz w:val="32"/>
          <w:szCs w:val="32"/>
        </w:rPr>
        <w:t>元</w:t>
      </w:r>
      <w:r>
        <w:rPr>
          <w:rFonts w:hint="eastAsia" w:ascii="TimesNewRoman" w:hAnsi="TimesNewRoman" w:eastAsia="仿宋_GB2312" w:cs="TimesNewRoman"/>
          <w:kern w:val="0"/>
          <w:sz w:val="32"/>
          <w:szCs w:val="32"/>
          <w:lang w:eastAsia="zh-CN"/>
        </w:rPr>
        <w:t>。</w:t>
      </w:r>
    </w:p>
    <w:p w14:paraId="621B16AF">
      <w:pPr>
        <w:ind w:firstLine="640" w:firstLineChars="200"/>
        <w:rPr>
          <w:rFonts w:hint="eastAsia" w:ascii="TimesNewRoman" w:hAnsi="TimesNewRoman" w:eastAsia="仿宋_GB2312" w:cs="TimesNewRoman"/>
          <w:kern w:val="0"/>
          <w:sz w:val="32"/>
          <w:szCs w:val="32"/>
          <w:lang w:eastAsia="zh-CN"/>
        </w:rPr>
      </w:pP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2</w:t>
      </w:r>
      <w:r>
        <w:rPr>
          <w:rFonts w:hint="eastAsia" w:ascii="TimesNewRoman" w:hAnsi="TimesNewRoman" w:eastAsia="仿宋_GB2312" w:cs="TimesNewRoman"/>
          <w:kern w:val="0"/>
          <w:sz w:val="32"/>
          <w:szCs w:val="32"/>
        </w:rPr>
        <w:t>）实施主体。</w:t>
      </w:r>
      <w:r>
        <w:rPr>
          <w:rFonts w:hint="eastAsia" w:ascii="TimesNewRoman" w:hAnsi="TimesNewRoman" w:eastAsia="仿宋_GB2312" w:cs="TimesNewRoman"/>
          <w:kern w:val="0"/>
          <w:sz w:val="32"/>
          <w:szCs w:val="32"/>
          <w:lang w:eastAsia="zh-CN"/>
        </w:rPr>
        <w:t>淮北市市场监管综合行政执法支队</w:t>
      </w:r>
    </w:p>
    <w:p w14:paraId="3593A00F">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3</w:t>
      </w:r>
      <w:r>
        <w:rPr>
          <w:rFonts w:hint="eastAsia" w:ascii="TimesNewRoman" w:hAnsi="TimesNewRoman" w:eastAsia="仿宋_GB2312" w:cs="TimesNewRoman"/>
          <w:kern w:val="0"/>
          <w:sz w:val="32"/>
          <w:szCs w:val="32"/>
        </w:rPr>
        <w:t>）起止时间。</w:t>
      </w:r>
      <w:r>
        <w:rPr>
          <w:rFonts w:hint="eastAsia" w:ascii="TimesNewRoman" w:hAnsi="TimesNewRoman" w:eastAsia="仿宋_GB2312" w:cs="TimesNewRoman"/>
          <w:kern w:val="0"/>
          <w:sz w:val="32"/>
          <w:szCs w:val="32"/>
          <w:lang w:val="en-US" w:eastAsia="zh-CN"/>
        </w:rPr>
        <w:t>2024年1月至12月</w:t>
      </w:r>
    </w:p>
    <w:p w14:paraId="3DA986CE">
      <w:pPr>
        <w:ind w:firstLine="640" w:firstLineChars="200"/>
        <w:rPr>
          <w:rFonts w:hint="default"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4</w:t>
      </w:r>
      <w:r>
        <w:rPr>
          <w:rFonts w:hint="eastAsia" w:ascii="TimesNewRoman" w:hAnsi="TimesNewRoman" w:eastAsia="仿宋_GB2312" w:cs="TimesNewRoman"/>
          <w:kern w:val="0"/>
          <w:sz w:val="32"/>
          <w:szCs w:val="32"/>
        </w:rPr>
        <w:t>）项目内容。</w:t>
      </w:r>
      <w:r>
        <w:rPr>
          <w:rFonts w:hint="eastAsia" w:ascii="TimesNewRoman" w:hAnsi="TimesNewRoman" w:eastAsia="仿宋_GB2312" w:cs="TimesNewRoman"/>
          <w:kern w:val="0"/>
          <w:sz w:val="32"/>
          <w:szCs w:val="32"/>
          <w:lang w:eastAsia="zh-CN"/>
        </w:rPr>
        <w:t>三名劳务派遣人员</w:t>
      </w:r>
      <w:r>
        <w:rPr>
          <w:rFonts w:hint="eastAsia" w:ascii="TimesNewRoman" w:hAnsi="TimesNewRoman" w:eastAsia="仿宋_GB2312" w:cs="TimesNewRoman"/>
          <w:kern w:val="0"/>
          <w:sz w:val="32"/>
          <w:szCs w:val="32"/>
          <w:lang w:val="en-US" w:eastAsia="zh-CN"/>
        </w:rPr>
        <w:t>2024年度社保费用及工资支出。</w:t>
      </w:r>
    </w:p>
    <w:p w14:paraId="5AC9C340">
      <w:pPr>
        <w:ind w:firstLine="640" w:firstLineChars="200"/>
        <w:rPr>
          <w:rFonts w:hint="eastAsia" w:ascii="TimesNewRoman" w:hAnsi="TimesNewRoman" w:eastAsia="仿宋_GB2312" w:cs="TimesNewRoman"/>
          <w:kern w:val="0"/>
          <w:sz w:val="32"/>
          <w:szCs w:val="32"/>
          <w:lang w:val="en-US" w:eastAsia="zh-CN"/>
        </w:rPr>
      </w:pP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5</w:t>
      </w:r>
      <w:r>
        <w:rPr>
          <w:rFonts w:hint="eastAsia" w:ascii="TimesNewRoman" w:hAnsi="TimesNewRoman" w:eastAsia="仿宋_GB2312" w:cs="TimesNewRoman"/>
          <w:kern w:val="0"/>
          <w:sz w:val="32"/>
          <w:szCs w:val="32"/>
        </w:rPr>
        <w:t>）年度预算安排。</w:t>
      </w:r>
      <w:r>
        <w:rPr>
          <w:rFonts w:hint="eastAsia" w:ascii="TimesNewRoman" w:hAnsi="TimesNewRoman" w:eastAsia="仿宋_GB2312" w:cs="TimesNewRoman"/>
          <w:kern w:val="0"/>
          <w:sz w:val="32"/>
          <w:szCs w:val="32"/>
          <w:lang w:val="en-US" w:eastAsia="zh-CN"/>
        </w:rPr>
        <w:t>2024年预算安排12.02万元</w:t>
      </w:r>
    </w:p>
    <w:p w14:paraId="561421EC">
      <w:pPr>
        <w:ind w:firstLine="640" w:firstLineChars="200"/>
        <w:rPr>
          <w:rFonts w:hint="eastAsia"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w:t>
      </w:r>
      <w:r>
        <w:rPr>
          <w:rFonts w:hint="eastAsia" w:ascii="TimesNewRoman" w:hAnsi="TimesNewRoman" w:eastAsia="仿宋_GB2312" w:cs="TimesNewRoman"/>
          <w:kern w:val="0"/>
          <w:sz w:val="32"/>
          <w:szCs w:val="32"/>
          <w:lang w:val="en-US" w:eastAsia="zh-CN"/>
        </w:rPr>
        <w:t>6</w:t>
      </w:r>
      <w:r>
        <w:rPr>
          <w:rFonts w:hint="eastAsia" w:ascii="TimesNewRoman" w:hAnsi="TimesNewRoman" w:eastAsia="仿宋_GB2312" w:cs="TimesNewRoman"/>
          <w:kern w:val="0"/>
          <w:sz w:val="32"/>
          <w:szCs w:val="32"/>
        </w:rPr>
        <w:t>）绩效目标</w:t>
      </w:r>
      <w:r>
        <w:rPr>
          <w:rFonts w:hint="eastAsia" w:ascii="TimesNewRoman" w:hAnsi="TimesNewRoman" w:eastAsia="仿宋_GB2312" w:cs="TimesNewRoman"/>
          <w:kern w:val="0"/>
          <w:sz w:val="32"/>
          <w:szCs w:val="32"/>
          <w:lang w:eastAsia="zh-CN"/>
        </w:rPr>
        <w:t>。保障</w:t>
      </w:r>
      <w:r>
        <w:rPr>
          <w:rFonts w:hint="eastAsia" w:ascii="TimesNewRoman" w:hAnsi="TimesNewRoman" w:eastAsia="仿宋_GB2312" w:cs="TimesNewRoman"/>
          <w:kern w:val="0"/>
          <w:sz w:val="32"/>
          <w:szCs w:val="32"/>
        </w:rPr>
        <w:t>三名劳务派遣人员2024年度社保费用及工资支出。</w:t>
      </w:r>
    </w:p>
    <w:p w14:paraId="0FBFBD8A">
      <w:pPr>
        <w:pStyle w:val="9"/>
        <w:rPr>
          <w:rFonts w:hint="eastAsia" w:ascii="仿宋_GB2312" w:eastAsia="仿宋_GB2312"/>
          <w:color w:val="000000"/>
          <w:sz w:val="32"/>
          <w:szCs w:val="32"/>
          <w:lang w:val="en-US" w:eastAsia="zh-CN"/>
        </w:rPr>
      </w:pPr>
      <w:r>
        <w:rPr>
          <w:rFonts w:hint="eastAsia" w:ascii="仿宋_GB2312" w:eastAsia="仿宋_GB2312"/>
          <w:color w:val="000000"/>
          <w:sz w:val="32"/>
          <w:szCs w:val="32"/>
          <w:lang w:val="en-US" w:eastAsia="zh-CN"/>
        </w:rPr>
        <w:t>项目支出绩效目标表</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见附件</w:t>
      </w:r>
      <w:r>
        <w:rPr>
          <w:rFonts w:hint="eastAsia" w:ascii="仿宋_GB2312"/>
          <w:color w:val="000000"/>
          <w:sz w:val="32"/>
          <w:szCs w:val="32"/>
          <w:lang w:val="en-US" w:eastAsia="zh-CN"/>
        </w:rPr>
        <w:t>7</w:t>
      </w:r>
      <w:r>
        <w:rPr>
          <w:rFonts w:hint="eastAsia" w:ascii="仿宋_GB2312" w:eastAsia="仿宋_GB2312"/>
          <w:color w:val="000000"/>
          <w:sz w:val="32"/>
          <w:szCs w:val="32"/>
          <w:lang w:val="en-US" w:eastAsia="zh-CN"/>
        </w:rPr>
        <w:t>）</w:t>
      </w:r>
    </w:p>
    <w:p w14:paraId="1CC2A3AA">
      <w:pPr>
        <w:adjustRightInd w:val="0"/>
        <w:snapToGrid w:val="0"/>
        <w:spacing w:line="580" w:lineRule="exact"/>
        <w:ind w:firstLine="643" w:firstLineChars="200"/>
        <w:rPr>
          <w:rFonts w:ascii="TimesNewRoman" w:hAnsi="TimesNewRoman" w:eastAsia="仿宋_GB2312" w:cs="TimesNewRoman"/>
          <w:b/>
          <w:sz w:val="32"/>
          <w:szCs w:val="32"/>
        </w:rPr>
      </w:pPr>
      <w:r>
        <w:rPr>
          <w:rFonts w:hint="eastAsia" w:ascii="TimesNewRoman" w:hAnsi="TimesNewRoman" w:eastAsia="仿宋_GB2312" w:cs="TimesNewRoman"/>
          <w:b/>
          <w:sz w:val="32"/>
          <w:szCs w:val="32"/>
        </w:rPr>
        <w:t>（二）机关运行经费。</w:t>
      </w:r>
    </w:p>
    <w:p w14:paraId="18A4BA28">
      <w:pPr>
        <w:keepNext w:val="0"/>
        <w:keepLines w:val="0"/>
        <w:pageBreakBefore w:val="0"/>
        <w:kinsoku/>
        <w:wordWrap/>
        <w:overflowPunct/>
        <w:autoSpaceDE/>
        <w:autoSpaceDN/>
        <w:bidi w:val="0"/>
        <w:adjustRightInd w:val="0"/>
        <w:snapToGrid w:val="0"/>
        <w:spacing w:beforeAutospacing="0" w:afterAutospacing="0" w:line="520" w:lineRule="exact"/>
        <w:ind w:firstLine="640" w:firstLineChars="200"/>
        <w:textAlignment w:val="auto"/>
        <w:rPr>
          <w:rFonts w:ascii="仿宋_GB2312" w:hAnsi="仿宋" w:eastAsia="仿宋_GB2312"/>
          <w:sz w:val="32"/>
          <w:szCs w:val="32"/>
        </w:rPr>
      </w:pPr>
      <w:r>
        <w:rPr>
          <w:rFonts w:hint="eastAsia" w:ascii="TimesNewRoman" w:hAnsi="TimesNewRoman" w:eastAsia="仿宋_GB2312" w:cs="TimesNewRoman"/>
          <w:kern w:val="0"/>
          <w:sz w:val="32"/>
          <w:szCs w:val="32"/>
        </w:rPr>
        <w:t>淮北市</w:t>
      </w:r>
      <w:r>
        <w:rPr>
          <w:rFonts w:hint="eastAsia" w:ascii="TimesNewRoman" w:hAnsi="TimesNewRoman" w:eastAsia="仿宋_GB2312" w:cs="TimesNewRoman"/>
          <w:kern w:val="0"/>
          <w:sz w:val="32"/>
          <w:szCs w:val="32"/>
          <w:lang w:val="en-US" w:eastAsia="zh-CN"/>
        </w:rPr>
        <w:t>市场监督管理局</w:t>
      </w:r>
      <w:r>
        <w:rPr>
          <w:rFonts w:hint="eastAsia" w:ascii="TimesNewRoman" w:hAnsi="TimesNewRoman" w:eastAsia="仿宋_GB2312" w:cs="TimesNewRoman"/>
          <w:kern w:val="0"/>
          <w:sz w:val="32"/>
          <w:szCs w:val="32"/>
        </w:rPr>
        <w:t>2024年机关运行经费财政拨款预算</w:t>
      </w:r>
      <w:r>
        <w:rPr>
          <w:rFonts w:hint="eastAsia" w:ascii="TimesNewRoman" w:hAnsi="TimesNewRoman" w:eastAsia="仿宋_GB2312" w:cs="TimesNewRoman"/>
          <w:kern w:val="0"/>
          <w:sz w:val="32"/>
          <w:szCs w:val="32"/>
          <w:lang w:val="en-US" w:eastAsia="zh-CN"/>
        </w:rPr>
        <w:t>454.88</w:t>
      </w:r>
      <w:r>
        <w:rPr>
          <w:rFonts w:hint="eastAsia" w:ascii="TimesNewRoman" w:hAnsi="TimesNewRoman" w:eastAsia="仿宋_GB2312" w:cs="TimesNewRoman"/>
          <w:kern w:val="0"/>
          <w:sz w:val="32"/>
          <w:szCs w:val="32"/>
        </w:rPr>
        <w:t>万元，比2023年预算减少</w:t>
      </w:r>
      <w:r>
        <w:rPr>
          <w:rFonts w:hint="eastAsia" w:ascii="TimesNewRoman" w:hAnsi="TimesNewRoman" w:eastAsia="仿宋_GB2312" w:cs="TimesNewRoman"/>
          <w:kern w:val="0"/>
          <w:sz w:val="32"/>
          <w:szCs w:val="32"/>
          <w:lang w:val="en-US" w:eastAsia="zh-CN"/>
        </w:rPr>
        <w:t>6.7</w:t>
      </w:r>
      <w:r>
        <w:rPr>
          <w:rFonts w:hint="eastAsia" w:ascii="TimesNewRoman" w:hAnsi="TimesNewRoman" w:eastAsia="仿宋_GB2312" w:cs="TimesNewRoman"/>
          <w:kern w:val="0"/>
          <w:sz w:val="32"/>
          <w:szCs w:val="32"/>
        </w:rPr>
        <w:t>万元，下降</w:t>
      </w:r>
      <w:r>
        <w:rPr>
          <w:rFonts w:hint="eastAsia" w:ascii="TimesNewRoman" w:hAnsi="TimesNewRoman" w:eastAsia="仿宋_GB2312" w:cs="TimesNewRoman"/>
          <w:kern w:val="0"/>
          <w:sz w:val="32"/>
          <w:szCs w:val="32"/>
          <w:lang w:val="en-US" w:eastAsia="zh-CN"/>
        </w:rPr>
        <w:t>1.44</w:t>
      </w:r>
      <w:r>
        <w:rPr>
          <w:rFonts w:hint="eastAsia" w:ascii="TimesNewRoman" w:hAnsi="TimesNewRoman" w:eastAsia="仿宋_GB2312" w:cs="TimesNewRoman"/>
          <w:kern w:val="0"/>
          <w:sz w:val="32"/>
          <w:szCs w:val="32"/>
        </w:rPr>
        <w:t>%，原因主要是</w:t>
      </w:r>
      <w:r>
        <w:rPr>
          <w:rFonts w:hint="eastAsia" w:ascii="仿宋_GB2312" w:eastAsia="仿宋_GB2312"/>
          <w:color w:val="000000"/>
          <w:sz w:val="32"/>
          <w:szCs w:val="32"/>
        </w:rPr>
        <w:t>树立过“紧日子”意识，确保重点，控制一般，持续降低行政运行成本</w:t>
      </w:r>
      <w:r>
        <w:rPr>
          <w:rFonts w:hint="eastAsia" w:ascii="仿宋_GB2312" w:hAnsi="仿宋" w:eastAsia="仿宋_GB2312"/>
          <w:sz w:val="32"/>
          <w:szCs w:val="32"/>
        </w:rPr>
        <w:t>。</w:t>
      </w:r>
    </w:p>
    <w:p w14:paraId="1D0C912E">
      <w:pPr>
        <w:adjustRightInd w:val="0"/>
        <w:snapToGrid w:val="0"/>
        <w:spacing w:line="580" w:lineRule="exact"/>
        <w:ind w:firstLine="643" w:firstLineChars="200"/>
        <w:rPr>
          <w:rFonts w:ascii="TimesNewRoman" w:hAnsi="TimesNewRoman" w:eastAsia="仿宋_GB2312" w:cs="TimesNewRoman"/>
          <w:b/>
          <w:sz w:val="32"/>
          <w:szCs w:val="32"/>
        </w:rPr>
      </w:pPr>
      <w:r>
        <w:rPr>
          <w:rFonts w:hint="eastAsia" w:ascii="TimesNewRoman" w:hAnsi="TimesNewRoman" w:eastAsia="仿宋_GB2312" w:cs="TimesNewRoman"/>
          <w:b/>
          <w:sz w:val="32"/>
          <w:szCs w:val="32"/>
        </w:rPr>
        <w:t>（三）政府采购情况。</w:t>
      </w:r>
    </w:p>
    <w:p w14:paraId="5CBA4FB9">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淮北市</w:t>
      </w:r>
      <w:r>
        <w:rPr>
          <w:rFonts w:hint="eastAsia" w:ascii="TimesNewRoman" w:hAnsi="TimesNewRoman" w:eastAsia="仿宋_GB2312" w:cs="TimesNewRoman"/>
          <w:kern w:val="0"/>
          <w:sz w:val="32"/>
          <w:szCs w:val="32"/>
          <w:lang w:val="en-US" w:eastAsia="zh-CN"/>
        </w:rPr>
        <w:t>市场监督管理局</w:t>
      </w:r>
      <w:r>
        <w:rPr>
          <w:rFonts w:hint="eastAsia" w:ascii="TimesNewRoman" w:hAnsi="TimesNewRoman" w:eastAsia="仿宋_GB2312" w:cs="TimesNewRoman"/>
          <w:kern w:val="0"/>
          <w:sz w:val="32"/>
          <w:szCs w:val="32"/>
        </w:rPr>
        <w:t>2024年政府采购预算</w:t>
      </w:r>
      <w:r>
        <w:rPr>
          <w:rFonts w:hint="eastAsia" w:ascii="TimesNewRoman" w:hAnsi="TimesNewRoman" w:eastAsia="仿宋_GB2312" w:cs="TimesNewRoman"/>
          <w:kern w:val="0"/>
          <w:sz w:val="32"/>
          <w:szCs w:val="32"/>
          <w:lang w:val="en-US" w:eastAsia="zh-CN"/>
        </w:rPr>
        <w:t>209.05</w:t>
      </w:r>
      <w:r>
        <w:rPr>
          <w:rFonts w:hint="eastAsia" w:ascii="TimesNewRoman" w:hAnsi="TimesNewRoman" w:eastAsia="仿宋_GB2312" w:cs="TimesNewRoman"/>
          <w:kern w:val="0"/>
          <w:sz w:val="32"/>
          <w:szCs w:val="32"/>
        </w:rPr>
        <w:t>万元。其中：政府采购货物预算</w:t>
      </w:r>
      <w:r>
        <w:rPr>
          <w:rFonts w:hint="eastAsia" w:ascii="TimesNewRoman" w:hAnsi="TimesNewRoman" w:eastAsia="仿宋_GB2312" w:cs="TimesNewRoman"/>
          <w:kern w:val="0"/>
          <w:sz w:val="32"/>
          <w:szCs w:val="32"/>
          <w:lang w:val="en-US" w:eastAsia="zh-CN"/>
        </w:rPr>
        <w:t>74.67</w:t>
      </w:r>
      <w:r>
        <w:rPr>
          <w:rFonts w:hint="eastAsia" w:ascii="TimesNewRoman" w:hAnsi="TimesNewRoman" w:eastAsia="仿宋_GB2312" w:cs="TimesNewRoman"/>
          <w:kern w:val="0"/>
          <w:sz w:val="32"/>
          <w:szCs w:val="32"/>
        </w:rPr>
        <w:t>万元，政府采购工程预算</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万元，政府采购服务预算</w:t>
      </w:r>
      <w:r>
        <w:rPr>
          <w:rFonts w:hint="eastAsia" w:ascii="TimesNewRoman" w:hAnsi="TimesNewRoman" w:eastAsia="仿宋_GB2312" w:cs="TimesNewRoman"/>
          <w:kern w:val="0"/>
          <w:sz w:val="32"/>
          <w:szCs w:val="32"/>
          <w:lang w:val="en-US" w:eastAsia="zh-CN"/>
        </w:rPr>
        <w:t>134.38</w:t>
      </w:r>
      <w:r>
        <w:rPr>
          <w:rFonts w:hint="eastAsia" w:ascii="TimesNewRoman" w:hAnsi="TimesNewRoman" w:eastAsia="仿宋_GB2312" w:cs="TimesNewRoman"/>
          <w:kern w:val="0"/>
          <w:sz w:val="32"/>
          <w:szCs w:val="32"/>
        </w:rPr>
        <w:t>万元。</w:t>
      </w:r>
    </w:p>
    <w:p w14:paraId="2B06F793">
      <w:pPr>
        <w:adjustRightInd w:val="0"/>
        <w:snapToGrid w:val="0"/>
        <w:spacing w:line="580" w:lineRule="exact"/>
        <w:ind w:firstLine="643" w:firstLineChars="200"/>
        <w:rPr>
          <w:rFonts w:ascii="TimesNewRoman" w:hAnsi="TimesNewRoman" w:eastAsia="仿宋_GB2312" w:cs="TimesNewRoman"/>
          <w:b/>
          <w:sz w:val="32"/>
          <w:szCs w:val="32"/>
        </w:rPr>
      </w:pPr>
      <w:r>
        <w:rPr>
          <w:rFonts w:hint="eastAsia" w:ascii="TimesNewRoman" w:hAnsi="TimesNewRoman" w:eastAsia="仿宋_GB2312" w:cs="TimesNewRoman"/>
          <w:b/>
          <w:sz w:val="32"/>
          <w:szCs w:val="32"/>
        </w:rPr>
        <w:t>（四）国有资产占有使用情况。</w:t>
      </w:r>
    </w:p>
    <w:p w14:paraId="4440582B">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截至2023年12月31日，淮北市</w:t>
      </w:r>
      <w:r>
        <w:rPr>
          <w:rFonts w:hint="eastAsia" w:ascii="TimesNewRoman" w:hAnsi="TimesNewRoman" w:eastAsia="仿宋_GB2312" w:cs="TimesNewRoman"/>
          <w:kern w:val="0"/>
          <w:sz w:val="32"/>
          <w:szCs w:val="32"/>
          <w:lang w:val="en-US" w:eastAsia="zh-CN"/>
        </w:rPr>
        <w:t>市场监督管理局</w:t>
      </w:r>
      <w:r>
        <w:rPr>
          <w:rFonts w:hint="eastAsia" w:ascii="TimesNewRoman" w:hAnsi="TimesNewRoman" w:eastAsia="仿宋_GB2312" w:cs="TimesNewRoman"/>
          <w:kern w:val="0"/>
          <w:sz w:val="32"/>
          <w:szCs w:val="32"/>
        </w:rPr>
        <w:t>共有车辆</w:t>
      </w:r>
      <w:r>
        <w:rPr>
          <w:rFonts w:hint="eastAsia" w:ascii="TimesNewRoman" w:hAnsi="TimesNewRoman" w:eastAsia="仿宋_GB2312" w:cs="TimesNewRoman"/>
          <w:kern w:val="0"/>
          <w:sz w:val="32"/>
          <w:szCs w:val="32"/>
          <w:lang w:val="en-US" w:eastAsia="zh-CN"/>
        </w:rPr>
        <w:t>30</w:t>
      </w:r>
      <w:r>
        <w:rPr>
          <w:rFonts w:hint="eastAsia" w:ascii="TimesNewRoman" w:hAnsi="TimesNewRoman" w:eastAsia="仿宋_GB2312" w:cs="TimesNewRoman"/>
          <w:kern w:val="0"/>
          <w:sz w:val="32"/>
          <w:szCs w:val="32"/>
        </w:rPr>
        <w:t>辆，其中：执法执勤用车</w:t>
      </w:r>
      <w:r>
        <w:rPr>
          <w:rFonts w:hint="eastAsia" w:ascii="TimesNewRoman" w:hAnsi="TimesNewRoman" w:eastAsia="仿宋_GB2312" w:cs="TimesNewRoman"/>
          <w:kern w:val="0"/>
          <w:sz w:val="32"/>
          <w:szCs w:val="32"/>
          <w:lang w:val="en-US" w:eastAsia="zh-CN"/>
        </w:rPr>
        <w:t>8</w:t>
      </w:r>
      <w:r>
        <w:rPr>
          <w:rFonts w:hint="eastAsia" w:ascii="TimesNewRoman" w:hAnsi="TimesNewRoman" w:eastAsia="仿宋_GB2312" w:cs="TimesNewRoman"/>
          <w:kern w:val="0"/>
          <w:sz w:val="32"/>
          <w:szCs w:val="32"/>
        </w:rPr>
        <w:t>辆、特种专业技术用车</w:t>
      </w:r>
      <w:r>
        <w:rPr>
          <w:rFonts w:hint="eastAsia" w:ascii="TimesNewRoman" w:hAnsi="TimesNewRoman" w:eastAsia="仿宋_GB2312" w:cs="TimesNewRoman"/>
          <w:kern w:val="0"/>
          <w:sz w:val="32"/>
          <w:szCs w:val="32"/>
          <w:lang w:val="en-US" w:eastAsia="zh-CN"/>
        </w:rPr>
        <w:t>10</w:t>
      </w:r>
      <w:r>
        <w:rPr>
          <w:rFonts w:hint="eastAsia" w:ascii="TimesNewRoman" w:hAnsi="TimesNewRoman" w:eastAsia="仿宋_GB2312" w:cs="TimesNewRoman"/>
          <w:kern w:val="0"/>
          <w:sz w:val="32"/>
          <w:szCs w:val="32"/>
        </w:rPr>
        <w:t>辆、其他用车</w:t>
      </w:r>
      <w:r>
        <w:rPr>
          <w:rFonts w:hint="eastAsia" w:ascii="TimesNewRoman" w:hAnsi="TimesNewRoman" w:eastAsia="仿宋_GB2312" w:cs="TimesNewRoman"/>
          <w:kern w:val="0"/>
          <w:sz w:val="32"/>
          <w:szCs w:val="32"/>
          <w:lang w:val="en-US" w:eastAsia="zh-CN"/>
        </w:rPr>
        <w:t>12</w:t>
      </w:r>
      <w:r>
        <w:rPr>
          <w:rFonts w:hint="eastAsia" w:ascii="TimesNewRoman" w:hAnsi="TimesNewRoman" w:eastAsia="仿宋_GB2312" w:cs="TimesNewRoman"/>
          <w:kern w:val="0"/>
          <w:sz w:val="32"/>
          <w:szCs w:val="32"/>
        </w:rPr>
        <w:t>辆。单价50万元以上的通用设备</w:t>
      </w:r>
      <w:r>
        <w:rPr>
          <w:rFonts w:hint="eastAsia" w:ascii="TimesNewRoman" w:hAnsi="TimesNewRoman" w:eastAsia="仿宋_GB2312" w:cs="TimesNewRoman"/>
          <w:kern w:val="0"/>
          <w:sz w:val="32"/>
          <w:szCs w:val="32"/>
          <w:lang w:val="en-US" w:eastAsia="zh-CN"/>
        </w:rPr>
        <w:t>20</w:t>
      </w:r>
      <w:r>
        <w:rPr>
          <w:rFonts w:hint="eastAsia" w:ascii="TimesNewRoman" w:hAnsi="TimesNewRoman" w:eastAsia="仿宋_GB2312" w:cs="TimesNewRoman"/>
          <w:kern w:val="0"/>
          <w:sz w:val="32"/>
          <w:szCs w:val="32"/>
        </w:rPr>
        <w:t>台（套），单价100万元以上的专用设备</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台（套）。</w:t>
      </w:r>
    </w:p>
    <w:p w14:paraId="53FFEB85">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2024年部门（单位）预算安排购置公务用车</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辆，购置费</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万元；安排购置单价50万元以上的通用设备</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台（套），购置费</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万元；安排购置单价100万元以上专用设备</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台（套），购置费</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w:t>
      </w:r>
    </w:p>
    <w:p w14:paraId="5A0C0F55">
      <w:pPr>
        <w:adjustRightInd w:val="0"/>
        <w:snapToGrid w:val="0"/>
        <w:spacing w:line="580" w:lineRule="exact"/>
        <w:ind w:firstLine="643" w:firstLineChars="200"/>
        <w:rPr>
          <w:rFonts w:ascii="TimesNewRoman" w:hAnsi="TimesNewRoman" w:eastAsia="仿宋_GB2312" w:cs="TimesNewRoman"/>
          <w:b/>
          <w:sz w:val="32"/>
          <w:szCs w:val="32"/>
        </w:rPr>
      </w:pPr>
      <w:r>
        <w:rPr>
          <w:rFonts w:hint="eastAsia" w:ascii="TimesNewRoman" w:hAnsi="TimesNewRoman" w:eastAsia="仿宋_GB2312" w:cs="TimesNewRoman"/>
          <w:b/>
          <w:sz w:val="32"/>
          <w:szCs w:val="32"/>
        </w:rPr>
        <w:t>（五）绩效目标设置情况。</w:t>
      </w:r>
    </w:p>
    <w:p w14:paraId="19F8381A">
      <w:pPr>
        <w:ind w:firstLine="640" w:firstLineChars="200"/>
        <w:rPr>
          <w:rFonts w:ascii="TimesNewRoman" w:hAnsi="TimesNewRoman" w:eastAsia="仿宋_GB2312" w:cs="TimesNewRoman"/>
          <w:kern w:val="0"/>
          <w:sz w:val="32"/>
          <w:szCs w:val="32"/>
        </w:rPr>
      </w:pPr>
      <w:r>
        <w:rPr>
          <w:rFonts w:hint="eastAsia" w:ascii="TimesNewRoman" w:hAnsi="TimesNewRoman" w:eastAsia="仿宋_GB2312" w:cs="TimesNewRoman"/>
          <w:kern w:val="0"/>
          <w:sz w:val="32"/>
          <w:szCs w:val="32"/>
        </w:rPr>
        <w:t>2024年，淮北市</w:t>
      </w:r>
      <w:r>
        <w:rPr>
          <w:rFonts w:hint="eastAsia" w:ascii="TimesNewRoman" w:hAnsi="TimesNewRoman" w:eastAsia="仿宋_GB2312" w:cs="TimesNewRoman"/>
          <w:kern w:val="0"/>
          <w:sz w:val="32"/>
          <w:szCs w:val="32"/>
          <w:lang w:val="en-US" w:eastAsia="zh-CN"/>
        </w:rPr>
        <w:t>市场监督管理局22</w:t>
      </w:r>
      <w:r>
        <w:rPr>
          <w:rFonts w:hint="eastAsia" w:ascii="TimesNewRoman" w:hAnsi="TimesNewRoman" w:eastAsia="仿宋_GB2312" w:cs="TimesNewRoman"/>
          <w:kern w:val="0"/>
          <w:sz w:val="32"/>
          <w:szCs w:val="32"/>
        </w:rPr>
        <w:t>个项目实行了绩效目标管理，涉及一般公共预算当年财政拨款</w:t>
      </w:r>
      <w:r>
        <w:rPr>
          <w:rFonts w:hint="eastAsia" w:ascii="TimesNewRoman" w:hAnsi="TimesNewRoman" w:eastAsia="仿宋_GB2312" w:cs="TimesNewRoman"/>
          <w:kern w:val="0"/>
          <w:sz w:val="32"/>
          <w:szCs w:val="32"/>
          <w:lang w:val="en-US" w:eastAsia="zh-CN"/>
        </w:rPr>
        <w:t>1709.60</w:t>
      </w:r>
      <w:r>
        <w:rPr>
          <w:rFonts w:hint="eastAsia" w:ascii="TimesNewRoman" w:hAnsi="TimesNewRoman" w:eastAsia="仿宋_GB2312" w:cs="TimesNewRoman"/>
          <w:kern w:val="0"/>
          <w:sz w:val="32"/>
          <w:szCs w:val="32"/>
        </w:rPr>
        <w:t>万元、政府性基金预算当年财政拨款</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万元、财政专户管理资金当年安排</w:t>
      </w:r>
      <w:r>
        <w:rPr>
          <w:rFonts w:hint="eastAsia" w:ascii="TimesNewRoman" w:hAnsi="TimesNewRoman" w:eastAsia="仿宋_GB2312" w:cs="TimesNewRoman"/>
          <w:kern w:val="0"/>
          <w:sz w:val="32"/>
          <w:szCs w:val="32"/>
          <w:lang w:val="en-US" w:eastAsia="zh-CN"/>
        </w:rPr>
        <w:t>0</w:t>
      </w:r>
      <w:r>
        <w:rPr>
          <w:rFonts w:hint="eastAsia" w:ascii="TimesNewRoman" w:hAnsi="TimesNewRoman" w:eastAsia="仿宋_GB2312" w:cs="TimesNewRoman"/>
          <w:kern w:val="0"/>
          <w:sz w:val="32"/>
          <w:szCs w:val="32"/>
        </w:rPr>
        <w:t>万元。</w:t>
      </w:r>
    </w:p>
    <w:p w14:paraId="2AB3ED11">
      <w:pPr>
        <w:pStyle w:val="4"/>
        <w:adjustRightInd w:val="0"/>
        <w:snapToGrid w:val="0"/>
        <w:spacing w:line="560" w:lineRule="exact"/>
        <w:jc w:val="center"/>
        <w:rPr>
          <w:rFonts w:ascii="TimesNewRoman" w:hAnsi="TimesNewRoman" w:eastAsia="黑体" w:cs="TimesNewRoman"/>
          <w:bCs/>
          <w:sz w:val="36"/>
          <w:szCs w:val="36"/>
        </w:rPr>
      </w:pPr>
    </w:p>
    <w:p w14:paraId="0B250E11">
      <w:pPr>
        <w:pStyle w:val="4"/>
        <w:adjustRightInd w:val="0"/>
        <w:snapToGrid w:val="0"/>
        <w:spacing w:line="560" w:lineRule="exact"/>
        <w:jc w:val="center"/>
        <w:rPr>
          <w:rFonts w:ascii="TimesNewRoman" w:hAnsi="TimesNewRoman" w:eastAsia="黑体" w:cs="TimesNewRoman"/>
          <w:bCs/>
          <w:sz w:val="36"/>
          <w:szCs w:val="36"/>
        </w:rPr>
      </w:pPr>
      <w:r>
        <w:rPr>
          <w:rFonts w:hint="eastAsia" w:ascii="TimesNewRoman" w:hAnsi="TimesNewRoman" w:eastAsia="黑体" w:cs="TimesNewRoman"/>
          <w:bCs/>
          <w:sz w:val="36"/>
          <w:szCs w:val="36"/>
        </w:rPr>
        <w:t>第四部分 名词解释</w:t>
      </w:r>
    </w:p>
    <w:p w14:paraId="75F79BB1"/>
    <w:p w14:paraId="3598F63E">
      <w:pPr>
        <w:pStyle w:val="4"/>
        <w:adjustRightInd w:val="0"/>
        <w:snapToGrid w:val="0"/>
        <w:spacing w:line="560" w:lineRule="exact"/>
        <w:ind w:firstLine="630" w:firstLineChars="196"/>
        <w:rPr>
          <w:rFonts w:ascii="TimesNewRoman" w:hAnsi="TimesNewRoman" w:eastAsia="仿宋_GB2312" w:cs="TimesNewRoman"/>
          <w:sz w:val="32"/>
          <w:szCs w:val="32"/>
        </w:rPr>
      </w:pPr>
      <w:r>
        <w:rPr>
          <w:rFonts w:hint="eastAsia" w:ascii="TimesNewRoman" w:hAnsi="TimesNewRoman" w:eastAsia="仿宋_GB2312" w:cs="TimesNewRoman"/>
          <w:b/>
          <w:sz w:val="32"/>
          <w:szCs w:val="32"/>
        </w:rPr>
        <w:t>一、财政拨款收入：</w:t>
      </w:r>
      <w:r>
        <w:rPr>
          <w:rFonts w:hint="eastAsia" w:ascii="TimesNewRoman" w:hAnsi="TimesNewRoman" w:eastAsia="仿宋_GB2312" w:cs="TimesNewRoman"/>
          <w:sz w:val="32"/>
          <w:szCs w:val="32"/>
        </w:rPr>
        <w:t>指部门或单位从同级财政部门取得的财政预算资金。</w:t>
      </w:r>
    </w:p>
    <w:p w14:paraId="49502BC9">
      <w:pPr>
        <w:pStyle w:val="4"/>
        <w:adjustRightInd w:val="0"/>
        <w:snapToGrid w:val="0"/>
        <w:spacing w:line="560" w:lineRule="exact"/>
        <w:ind w:firstLine="630" w:firstLineChars="196"/>
        <w:rPr>
          <w:rFonts w:ascii="TimesNewRoman" w:hAnsi="TimesNewRoman" w:eastAsia="仿宋_GB2312" w:cs="TimesNewRoman"/>
          <w:sz w:val="32"/>
          <w:szCs w:val="32"/>
        </w:rPr>
      </w:pPr>
      <w:r>
        <w:rPr>
          <w:rFonts w:hint="eastAsia" w:ascii="TimesNewRoman" w:hAnsi="TimesNewRoman" w:eastAsia="仿宋_GB2312" w:cs="TimesNewRoman"/>
          <w:b/>
          <w:sz w:val="32"/>
          <w:szCs w:val="32"/>
        </w:rPr>
        <w:t>二、事业收入：</w:t>
      </w:r>
      <w:r>
        <w:rPr>
          <w:rFonts w:hint="eastAsia" w:ascii="TimesNewRoman" w:hAnsi="TimesNewRoman" w:eastAsia="仿宋_GB2312" w:cs="TimesNewRoman"/>
          <w:sz w:val="32"/>
          <w:szCs w:val="32"/>
        </w:rPr>
        <w:t>指事业单位开展专业业务活动及辅助活动所取得的收入。</w:t>
      </w:r>
    </w:p>
    <w:p w14:paraId="357BC637">
      <w:pPr>
        <w:pStyle w:val="4"/>
        <w:adjustRightInd w:val="0"/>
        <w:snapToGrid w:val="0"/>
        <w:spacing w:line="560" w:lineRule="exact"/>
        <w:ind w:firstLine="630" w:firstLineChars="196"/>
        <w:rPr>
          <w:rFonts w:ascii="TimesNewRoman" w:hAnsi="TimesNewRoman" w:eastAsia="仿宋_GB2312" w:cs="TimesNewRoman"/>
          <w:sz w:val="32"/>
          <w:szCs w:val="32"/>
        </w:rPr>
      </w:pPr>
      <w:r>
        <w:rPr>
          <w:rFonts w:hint="eastAsia" w:ascii="TimesNewRoman" w:hAnsi="TimesNewRoman" w:eastAsia="仿宋_GB2312" w:cs="TimesNewRoman"/>
          <w:b/>
          <w:sz w:val="32"/>
          <w:szCs w:val="32"/>
        </w:rPr>
        <w:t>三、财政专户管理资金：</w:t>
      </w:r>
      <w:r>
        <w:rPr>
          <w:rFonts w:hint="eastAsia" w:ascii="TimesNewRoman" w:hAnsi="TimesNewRoman" w:eastAsia="仿宋_GB2312" w:cs="TimesNewRoman"/>
          <w:sz w:val="32"/>
          <w:szCs w:val="32"/>
        </w:rPr>
        <w:t>指按照非税收入管理相关规定，纳入财政专户管理的教育收费等。</w:t>
      </w:r>
    </w:p>
    <w:p w14:paraId="3E3868C1">
      <w:pPr>
        <w:pStyle w:val="4"/>
        <w:adjustRightInd w:val="0"/>
        <w:snapToGrid w:val="0"/>
        <w:spacing w:line="560" w:lineRule="exact"/>
        <w:ind w:firstLine="630" w:firstLineChars="196"/>
        <w:rPr>
          <w:rFonts w:ascii="TimesNewRoman" w:hAnsi="TimesNewRoman" w:eastAsia="仿宋_GB2312" w:cs="TimesNewRoman"/>
          <w:sz w:val="32"/>
          <w:szCs w:val="32"/>
        </w:rPr>
      </w:pPr>
      <w:r>
        <w:rPr>
          <w:rFonts w:hint="eastAsia" w:ascii="TimesNewRoman" w:hAnsi="TimesNewRoman" w:eastAsia="仿宋_GB2312" w:cs="TimesNewRoman"/>
          <w:b/>
          <w:sz w:val="32"/>
          <w:szCs w:val="32"/>
        </w:rPr>
        <w:t>四、事业单位经营收入：</w:t>
      </w:r>
      <w:r>
        <w:rPr>
          <w:rFonts w:hint="eastAsia" w:ascii="TimesNewRoman" w:hAnsi="TimesNewRoman" w:eastAsia="仿宋_GB2312" w:cs="TimesNewRoman"/>
          <w:sz w:val="32"/>
          <w:szCs w:val="32"/>
        </w:rPr>
        <w:t>指事业单位在专业业务活动及其辅助活动之外开展非独立核算经营活动取得的收入。</w:t>
      </w:r>
    </w:p>
    <w:p w14:paraId="61BC8710">
      <w:pPr>
        <w:pStyle w:val="4"/>
        <w:adjustRightInd w:val="0"/>
        <w:snapToGrid w:val="0"/>
        <w:spacing w:line="560" w:lineRule="exact"/>
        <w:ind w:firstLine="630" w:firstLineChars="196"/>
        <w:rPr>
          <w:rFonts w:ascii="TimesNewRoman" w:hAnsi="TimesNewRoman" w:eastAsia="仿宋_GB2312" w:cs="TimesNewRoman"/>
          <w:sz w:val="32"/>
          <w:szCs w:val="32"/>
        </w:rPr>
      </w:pPr>
      <w:r>
        <w:rPr>
          <w:rFonts w:hint="eastAsia" w:ascii="TimesNewRoman" w:hAnsi="TimesNewRoman" w:eastAsia="仿宋_GB2312" w:cs="TimesNewRoman"/>
          <w:b/>
          <w:sz w:val="32"/>
          <w:szCs w:val="32"/>
        </w:rPr>
        <w:t>五、附属单位上缴收入：</w:t>
      </w:r>
      <w:r>
        <w:rPr>
          <w:rFonts w:hint="eastAsia" w:ascii="TimesNewRoman" w:hAnsi="TimesNewRoman" w:eastAsia="仿宋_GB2312" w:cs="TimesNewRoman"/>
          <w:sz w:val="32"/>
          <w:szCs w:val="32"/>
        </w:rPr>
        <w:t>本单位所属下级单位上缴给本单位的全部收入。</w:t>
      </w:r>
    </w:p>
    <w:p w14:paraId="7A6FC9FE">
      <w:pPr>
        <w:pStyle w:val="4"/>
        <w:adjustRightInd w:val="0"/>
        <w:snapToGrid w:val="0"/>
        <w:spacing w:line="560" w:lineRule="exact"/>
        <w:ind w:firstLine="630" w:firstLineChars="196"/>
        <w:rPr>
          <w:rFonts w:ascii="TimesNewRoman" w:hAnsi="TimesNewRoman" w:eastAsia="仿宋_GB2312" w:cs="TimesNewRoman"/>
          <w:sz w:val="32"/>
          <w:szCs w:val="32"/>
        </w:rPr>
      </w:pPr>
      <w:r>
        <w:rPr>
          <w:rFonts w:hint="eastAsia" w:ascii="TimesNewRoman" w:hAnsi="TimesNewRoman" w:eastAsia="仿宋_GB2312" w:cs="TimesNewRoman"/>
          <w:b/>
          <w:sz w:val="32"/>
          <w:szCs w:val="32"/>
        </w:rPr>
        <w:t>六、上年结转：</w:t>
      </w:r>
      <w:r>
        <w:rPr>
          <w:rFonts w:hint="eastAsia" w:ascii="TimesNewRoman" w:hAnsi="TimesNewRoman" w:eastAsia="仿宋_GB2312" w:cs="TimesNewRoman"/>
          <w:sz w:val="32"/>
          <w:szCs w:val="32"/>
        </w:rPr>
        <w:t>指以前年度安排、结转到本年仍按原用途继续使用的资金。</w:t>
      </w:r>
    </w:p>
    <w:p w14:paraId="0CD112A5">
      <w:pPr>
        <w:pStyle w:val="4"/>
        <w:adjustRightInd w:val="0"/>
        <w:snapToGrid w:val="0"/>
        <w:spacing w:line="560" w:lineRule="exact"/>
        <w:ind w:firstLine="630" w:firstLineChars="196"/>
        <w:rPr>
          <w:rFonts w:ascii="TimesNewRoman" w:hAnsi="TimesNewRoman" w:eastAsia="仿宋_GB2312" w:cs="TimesNewRoman"/>
          <w:sz w:val="32"/>
          <w:szCs w:val="32"/>
        </w:rPr>
      </w:pPr>
      <w:r>
        <w:rPr>
          <w:rFonts w:hint="eastAsia" w:ascii="TimesNewRoman" w:hAnsi="TimesNewRoman" w:eastAsia="仿宋_GB2312" w:cs="TimesNewRoman"/>
          <w:b/>
          <w:sz w:val="32"/>
          <w:szCs w:val="32"/>
        </w:rPr>
        <w:t>七、结转下年：</w:t>
      </w:r>
      <w:r>
        <w:rPr>
          <w:rFonts w:hint="eastAsia" w:ascii="TimesNewRoman" w:hAnsi="TimesNewRoman" w:eastAsia="仿宋_GB2312" w:cs="TimesNewRoman"/>
          <w:sz w:val="32"/>
          <w:szCs w:val="32"/>
        </w:rPr>
        <w:t>指以前年度预算安排、因客观条件发生变化无法按原计划实施，需以后年度按原用途继续使用的资金。</w:t>
      </w:r>
    </w:p>
    <w:p w14:paraId="1B8358F0">
      <w:pPr>
        <w:pStyle w:val="4"/>
        <w:adjustRightInd w:val="0"/>
        <w:snapToGrid w:val="0"/>
        <w:spacing w:line="560" w:lineRule="exact"/>
        <w:ind w:firstLine="630" w:firstLineChars="196"/>
        <w:rPr>
          <w:rFonts w:ascii="TimesNewRoman" w:hAnsi="TimesNewRoman" w:eastAsia="仿宋_GB2312" w:cs="TimesNewRoman"/>
          <w:sz w:val="32"/>
          <w:szCs w:val="32"/>
        </w:rPr>
      </w:pPr>
      <w:r>
        <w:rPr>
          <w:rFonts w:hint="eastAsia" w:ascii="TimesNewRoman" w:hAnsi="TimesNewRoman" w:eastAsia="仿宋_GB2312" w:cs="TimesNewRoman"/>
          <w:b/>
          <w:sz w:val="32"/>
          <w:szCs w:val="32"/>
        </w:rPr>
        <w:t>八、基本支出：</w:t>
      </w:r>
      <w:r>
        <w:rPr>
          <w:rFonts w:hint="eastAsia" w:ascii="TimesNewRoman" w:hAnsi="TimesNewRoman" w:eastAsia="仿宋_GB2312" w:cs="TimesNewRoman"/>
          <w:sz w:val="32"/>
          <w:szCs w:val="32"/>
        </w:rPr>
        <w:t>指为保障机构正常运转、完成日常工作任务而发生的人员支出和公用支出。</w:t>
      </w:r>
    </w:p>
    <w:p w14:paraId="6081FC1D">
      <w:pPr>
        <w:pStyle w:val="4"/>
        <w:adjustRightInd w:val="0"/>
        <w:snapToGrid w:val="0"/>
        <w:spacing w:line="560" w:lineRule="exact"/>
        <w:ind w:firstLine="630" w:firstLineChars="196"/>
        <w:rPr>
          <w:rFonts w:ascii="TimesNewRoman" w:hAnsi="TimesNewRoman" w:eastAsia="仿宋_GB2312" w:cs="TimesNewRoman"/>
          <w:sz w:val="32"/>
          <w:szCs w:val="32"/>
        </w:rPr>
      </w:pPr>
      <w:r>
        <w:rPr>
          <w:rFonts w:hint="eastAsia" w:ascii="TimesNewRoman" w:hAnsi="TimesNewRoman" w:eastAsia="仿宋_GB2312" w:cs="TimesNewRoman"/>
          <w:b/>
          <w:sz w:val="32"/>
          <w:szCs w:val="32"/>
        </w:rPr>
        <w:t>九、项目支出：</w:t>
      </w:r>
      <w:r>
        <w:rPr>
          <w:rFonts w:hint="eastAsia" w:ascii="TimesNewRoman" w:hAnsi="TimesNewRoman" w:eastAsia="仿宋_GB2312" w:cs="TimesNewRoman"/>
          <w:sz w:val="32"/>
          <w:szCs w:val="32"/>
        </w:rPr>
        <w:t>指在除基本支出之外的支出，主要用于完成特定的工作任务和事业发展目标。</w:t>
      </w:r>
    </w:p>
    <w:p w14:paraId="0AD940E4">
      <w:pPr>
        <w:pStyle w:val="4"/>
        <w:adjustRightInd w:val="0"/>
        <w:snapToGrid w:val="0"/>
        <w:spacing w:line="560" w:lineRule="exact"/>
        <w:ind w:firstLine="630" w:firstLineChars="196"/>
      </w:pPr>
      <w:r>
        <w:rPr>
          <w:rFonts w:hint="eastAsia" w:ascii="TimesNewRoman" w:hAnsi="TimesNewRoman" w:eastAsia="仿宋_GB2312" w:cs="TimesNewRoman"/>
          <w:b/>
          <w:sz w:val="32"/>
          <w:szCs w:val="32"/>
        </w:rPr>
        <w:t xml:space="preserve">十、机关运行经费: </w:t>
      </w:r>
      <w:r>
        <w:rPr>
          <w:rFonts w:hint="eastAsia" w:ascii="TimesNewRoman" w:hAnsi="TimesNewRoman" w:eastAsia="仿宋_GB2312" w:cs="TimesNewRoman"/>
          <w:sz w:val="32"/>
          <w:szCs w:val="32"/>
        </w:rPr>
        <w:t>为保障行政单位（包括参照公务员法管理的事业单位）运行用于购买货物和服务的各项资金，包括办公及印刷费、邮电费、差旅费、会议费、福利费、日常维修费、一般设备购置费、办公用房水电费、办公用房取暖费、办公用房物业管理费、公务用车运行维护费以及其他费用。</w:t>
      </w:r>
    </w:p>
    <w:sectPr>
      <w:footerReference r:id="rId3" w:type="default"/>
      <w:pgSz w:w="11906" w:h="16838"/>
      <w:pgMar w:top="1304" w:right="1134" w:bottom="1304"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4294AD4-7ECF-4FF4-AFC5-AC4F740488A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6006EC8-2534-4648-B224-4B8262F4DC3B}"/>
  </w:font>
  <w:font w:name="仿宋_GB2312">
    <w:panose1 w:val="02010609030101010101"/>
    <w:charset w:val="86"/>
    <w:family w:val="modern"/>
    <w:pitch w:val="default"/>
    <w:sig w:usb0="00000001" w:usb1="080E0000" w:usb2="00000000" w:usb3="00000000" w:csb0="00040000" w:csb1="00000000"/>
    <w:embedRegular r:id="rId3" w:fontKey="{15795E6C-FF3C-43F9-9BD1-C71CEB60126B}"/>
  </w:font>
  <w:font w:name="TimesNewRoman">
    <w:altName w:val="Segoe Print"/>
    <w:panose1 w:val="00000000000000000000"/>
    <w:charset w:val="00"/>
    <w:family w:val="auto"/>
    <w:pitch w:val="default"/>
    <w:sig w:usb0="00000000" w:usb1="00000000" w:usb2="00000029" w:usb3="00000000" w:csb0="600001FF" w:csb1="FFFF0000"/>
    <w:embedRegular r:id="rId4" w:fontKey="{657D8F5A-D48F-4409-987C-F24E8566773B}"/>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embedRegular r:id="rId5" w:fontKey="{2EFA1EF3-4768-4BD7-A6C6-364E10D5D550}"/>
  </w:font>
  <w:font w:name="楷体_GB2312">
    <w:panose1 w:val="02010609030101010101"/>
    <w:charset w:val="86"/>
    <w:family w:val="modern"/>
    <w:pitch w:val="default"/>
    <w:sig w:usb0="00000001" w:usb1="080E0000" w:usb2="00000000" w:usb3="00000000" w:csb0="00040000" w:csb1="00000000"/>
    <w:embedRegular r:id="rId6" w:fontKey="{F94A9BF0-B5C3-48D6-86BD-4DA22665F42B}"/>
  </w:font>
  <w:font w:name="方正仿宋_GBK">
    <w:panose1 w:val="03000509000000000000"/>
    <w:charset w:val="86"/>
    <w:family w:val="auto"/>
    <w:pitch w:val="default"/>
    <w:sig w:usb0="00000001" w:usb1="080E0000" w:usb2="00000000" w:usb3="00000000" w:csb0="00040000" w:csb1="00000000"/>
    <w:embedRegular r:id="rId7" w:fontKey="{B747C136-B6E8-469A-8E76-3032C9C0A8A4}"/>
  </w:font>
  <w:font w:name="仿宋">
    <w:panose1 w:val="02010609060101010101"/>
    <w:charset w:val="86"/>
    <w:family w:val="modern"/>
    <w:pitch w:val="default"/>
    <w:sig w:usb0="800002BF" w:usb1="38CF7CFA" w:usb2="00000016" w:usb3="00000000" w:csb0="00040001" w:csb1="00000000"/>
    <w:embedRegular r:id="rId8" w:fontKey="{F2C65485-BDD3-47FE-942B-31B4503C872B}"/>
  </w:font>
  <w:font w:name="楷体">
    <w:panose1 w:val="02010609060101010101"/>
    <w:charset w:val="86"/>
    <w:family w:val="auto"/>
    <w:pitch w:val="default"/>
    <w:sig w:usb0="800002BF" w:usb1="38CF7CFA" w:usb2="00000016" w:usb3="00000000" w:csb0="00040001" w:csb1="00000000"/>
    <w:embedRegular r:id="rId9" w:fontKey="{9FC8D60B-098C-4F3B-9219-305015FB792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D35E2">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C90E57">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14:paraId="77C90E5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F772C1"/>
    <w:multiLevelType w:val="singleLevel"/>
    <w:tmpl w:val="C3F772C1"/>
    <w:lvl w:ilvl="0" w:tentative="0">
      <w:start w:val="2"/>
      <w:numFmt w:val="decimal"/>
      <w:suff w:val="nothing"/>
      <w:lvlText w:val="（%1）"/>
      <w:lvlJc w:val="left"/>
    </w:lvl>
  </w:abstractNum>
  <w:abstractNum w:abstractNumId="1">
    <w:nsid w:val="1DCAC1D4"/>
    <w:multiLevelType w:val="singleLevel"/>
    <w:tmpl w:val="1DCAC1D4"/>
    <w:lvl w:ilvl="0" w:tentative="0">
      <w:start w:val="7"/>
      <w:numFmt w:val="decimal"/>
      <w:suff w:val="nothing"/>
      <w:lvlText w:val="（%1）"/>
      <w:lvlJc w:val="left"/>
    </w:lvl>
  </w:abstractNum>
  <w:abstractNum w:abstractNumId="2">
    <w:nsid w:val="2C9A8852"/>
    <w:multiLevelType w:val="singleLevel"/>
    <w:tmpl w:val="2C9A8852"/>
    <w:lvl w:ilvl="0" w:tentative="0">
      <w:start w:val="7"/>
      <w:numFmt w:val="decimal"/>
      <w:suff w:val="nothing"/>
      <w:lvlText w:val="（%1）"/>
      <w:lvlJc w:val="left"/>
    </w:lvl>
  </w:abstractNum>
  <w:abstractNum w:abstractNumId="3">
    <w:nsid w:val="366B3BAB"/>
    <w:multiLevelType w:val="singleLevel"/>
    <w:tmpl w:val="366B3BAB"/>
    <w:lvl w:ilvl="0" w:tentative="0">
      <w:start w:val="2"/>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iZGEyYmU4NTYzMDgxNDBkZDBmYjNjZGUyMTE2NWQifQ=="/>
  </w:docVars>
  <w:rsids>
    <w:rsidRoot w:val="00E907C4"/>
    <w:rsid w:val="000E28EE"/>
    <w:rsid w:val="00267E33"/>
    <w:rsid w:val="004A4DC6"/>
    <w:rsid w:val="0057562B"/>
    <w:rsid w:val="006546AF"/>
    <w:rsid w:val="00726D96"/>
    <w:rsid w:val="008F6D1A"/>
    <w:rsid w:val="009A3CA3"/>
    <w:rsid w:val="00AE3242"/>
    <w:rsid w:val="00BD640A"/>
    <w:rsid w:val="00DB2A5C"/>
    <w:rsid w:val="00E907C4"/>
    <w:rsid w:val="00EC7755"/>
    <w:rsid w:val="00F974AD"/>
    <w:rsid w:val="01B568BF"/>
    <w:rsid w:val="02587777"/>
    <w:rsid w:val="04E57B90"/>
    <w:rsid w:val="092B7994"/>
    <w:rsid w:val="0AFF70C0"/>
    <w:rsid w:val="0B46078B"/>
    <w:rsid w:val="0BA32E2A"/>
    <w:rsid w:val="1AD70D6E"/>
    <w:rsid w:val="1AF04599"/>
    <w:rsid w:val="1C0E6834"/>
    <w:rsid w:val="233649D3"/>
    <w:rsid w:val="28C72DDD"/>
    <w:rsid w:val="2C941F60"/>
    <w:rsid w:val="2CE120B1"/>
    <w:rsid w:val="3A5C3D96"/>
    <w:rsid w:val="3B26632E"/>
    <w:rsid w:val="3E7A4C53"/>
    <w:rsid w:val="3FEF69AC"/>
    <w:rsid w:val="46CC1167"/>
    <w:rsid w:val="4E503979"/>
    <w:rsid w:val="51FC732F"/>
    <w:rsid w:val="523572D3"/>
    <w:rsid w:val="58FD1395"/>
    <w:rsid w:val="5C1478EF"/>
    <w:rsid w:val="5E114E4C"/>
    <w:rsid w:val="5FE668F3"/>
    <w:rsid w:val="73C65E1D"/>
    <w:rsid w:val="74EF1F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next w:val="1"/>
    <w:link w:val="8"/>
    <w:autoRedefine/>
    <w:semiHidden/>
    <w:unhideWhenUsed/>
    <w:qFormat/>
    <w:uiPriority w:val="99"/>
    <w:pPr>
      <w:tabs>
        <w:tab w:val="center" w:pos="4153"/>
        <w:tab w:val="right" w:pos="8306"/>
      </w:tabs>
      <w:snapToGrid w:val="0"/>
      <w:jc w:val="left"/>
    </w:pPr>
    <w:rPr>
      <w:sz w:val="18"/>
      <w:szCs w:val="18"/>
    </w:rPr>
  </w:style>
  <w:style w:type="paragraph" w:styleId="3">
    <w:name w:val="header"/>
    <w:basedOn w:val="1"/>
    <w:link w:val="7"/>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Char"/>
    <w:basedOn w:val="6"/>
    <w:link w:val="3"/>
    <w:autoRedefine/>
    <w:semiHidden/>
    <w:qFormat/>
    <w:uiPriority w:val="99"/>
    <w:rPr>
      <w:sz w:val="18"/>
      <w:szCs w:val="18"/>
    </w:rPr>
  </w:style>
  <w:style w:type="character" w:customStyle="1" w:styleId="8">
    <w:name w:val="页脚 Char"/>
    <w:basedOn w:val="6"/>
    <w:link w:val="2"/>
    <w:autoRedefine/>
    <w:semiHidden/>
    <w:qFormat/>
    <w:uiPriority w:val="99"/>
    <w:rPr>
      <w:sz w:val="18"/>
      <w:szCs w:val="18"/>
    </w:rPr>
  </w:style>
  <w:style w:type="paragraph" w:customStyle="1" w:styleId="9">
    <w:name w:val="_Style 2"/>
    <w:basedOn w:val="1"/>
    <w:autoRedefine/>
    <w:qFormat/>
    <w:uiPriority w:val="99"/>
    <w:pPr>
      <w:spacing w:line="351" w:lineRule="atLeast"/>
      <w:ind w:firstLine="623"/>
      <w:textAlignment w:val="baseline"/>
    </w:pPr>
    <w:rPr>
      <w:rFonts w:ascii="Times New Roman" w:hAnsi="Times New Roman" w:eastAsia="仿宋_GB2312"/>
      <w:color w:val="000000"/>
      <w:sz w:val="31"/>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6029</Words>
  <Characters>6293</Characters>
  <Lines>46</Lines>
  <Paragraphs>13</Paragraphs>
  <TotalTime>62</TotalTime>
  <ScaleCrop>false</ScaleCrop>
  <LinksUpToDate>false</LinksUpToDate>
  <CharactersWithSpaces>6351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2023-01-30T01:51:00Z</dcterms:created>
  <dc:creator>lenovo</dc:creator>
  <cp:lastModifiedBy>焦守云</cp:lastModifiedBy>
  <dcterms:modified xsi:type="dcterms:W3CDTF">2024-12-16T08:47:52Z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967A1F152128423BA172F63EF11ECD2E_13</vt:lpwstr>
  </property>
</Properties>
</file>