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FEE98">
      <w:pPr>
        <w:jc w:val="center"/>
        <w:rPr>
          <w:rFonts w:hint="eastAsia" w:ascii="宋体" w:hAnsi="宋体"/>
          <w:b/>
          <w:sz w:val="36"/>
          <w:szCs w:val="36"/>
        </w:rPr>
      </w:pPr>
      <w:r>
        <w:rPr>
          <w:rFonts w:hint="eastAsia" w:ascii="宋体" w:hAnsi="宋体"/>
          <w:b/>
          <w:sz w:val="36"/>
          <w:szCs w:val="36"/>
          <w:lang w:eastAsia="zh-CN"/>
        </w:rPr>
        <w:t>淮北市市场监督管理局202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132EA23B">
      <w:pPr>
        <w:jc w:val="center"/>
        <w:rPr>
          <w:rFonts w:hint="eastAsia" w:ascii="楷体_GB2312" w:eastAsia="楷体_GB2312"/>
          <w:szCs w:val="32"/>
        </w:rPr>
      </w:pPr>
    </w:p>
    <w:p w14:paraId="71D81421">
      <w:pPr>
        <w:adjustRightInd w:val="0"/>
        <w:snapToGrid w:val="0"/>
        <w:spacing w:line="360" w:lineRule="auto"/>
        <w:jc w:val="center"/>
        <w:rPr>
          <w:rFonts w:hint="eastAsia" w:ascii="宋体" w:hAnsi="宋体"/>
          <w:sz w:val="6"/>
          <w:szCs w:val="32"/>
        </w:rPr>
      </w:pPr>
    </w:p>
    <w:p w14:paraId="43AF086E">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14:paraId="5D7DF744">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6D8EAD40">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6439511B">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2B65D03D">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7C26F016">
            <w:pPr>
              <w:widowControl/>
              <w:jc w:val="center"/>
              <w:rPr>
                <w:rFonts w:ascii="宋体" w:hAnsi="宋体" w:cs="宋体"/>
                <w:b/>
                <w:bCs/>
                <w:kern w:val="0"/>
                <w:szCs w:val="21"/>
              </w:rPr>
            </w:pPr>
            <w:r>
              <w:rPr>
                <w:rFonts w:hint="eastAsia" w:ascii="宋体" w:hAnsi="宋体" w:cs="宋体"/>
                <w:b/>
                <w:bCs/>
                <w:kern w:val="0"/>
                <w:szCs w:val="21"/>
              </w:rPr>
              <w:t>决 算 数</w:t>
            </w:r>
          </w:p>
        </w:tc>
      </w:tr>
      <w:tr w14:paraId="18E948F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59A14A6">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78BC007D">
            <w:pPr>
              <w:widowControl/>
              <w:jc w:val="right"/>
              <w:rPr>
                <w:rFonts w:hint="eastAsia" w:ascii="宋体" w:hAnsi="宋体" w:cs="宋体"/>
                <w:kern w:val="0"/>
                <w:szCs w:val="21"/>
              </w:rPr>
            </w:pPr>
            <w:r>
              <w:rPr>
                <w:rFonts w:hint="eastAsia" w:ascii="宋体" w:hAnsi="宋体" w:cs="宋体"/>
                <w:kern w:val="0"/>
                <w:szCs w:val="21"/>
                <w:lang w:val="en-US" w:eastAsia="zh-CN"/>
              </w:rPr>
              <w:t>39.70</w:t>
            </w:r>
          </w:p>
        </w:tc>
        <w:tc>
          <w:tcPr>
            <w:tcW w:w="2220" w:type="dxa"/>
            <w:tcBorders>
              <w:top w:val="nil"/>
              <w:left w:val="nil"/>
              <w:bottom w:val="single" w:color="auto" w:sz="4" w:space="0"/>
              <w:right w:val="single" w:color="auto" w:sz="4" w:space="0"/>
            </w:tcBorders>
            <w:noWrap w:val="0"/>
            <w:vAlign w:val="center"/>
          </w:tcPr>
          <w:p w14:paraId="3D2117CD">
            <w:pPr>
              <w:widowControl/>
              <w:jc w:val="right"/>
              <w:rPr>
                <w:rFonts w:hint="eastAsia" w:ascii="宋体" w:hAnsi="宋体" w:cs="宋体"/>
                <w:kern w:val="0"/>
                <w:szCs w:val="21"/>
              </w:rPr>
            </w:pPr>
            <w:r>
              <w:rPr>
                <w:rFonts w:hint="eastAsia" w:ascii="宋体" w:hAnsi="宋体" w:cs="宋体"/>
                <w:kern w:val="0"/>
                <w:szCs w:val="21"/>
                <w:lang w:val="en-US" w:eastAsia="zh-CN"/>
              </w:rPr>
              <w:t>39.70</w:t>
            </w:r>
          </w:p>
        </w:tc>
      </w:tr>
      <w:tr w14:paraId="57D13EE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BD70514">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center"/>
          </w:tcPr>
          <w:p w14:paraId="5D1FA23F">
            <w:pPr>
              <w:jc w:val="right"/>
              <w:rPr>
                <w:rFonts w:hint="eastAsia" w:ascii="宋体" w:hAnsi="宋体" w:eastAsia="仿宋_GB2312" w:cs="宋体"/>
                <w:kern w:val="0"/>
                <w:sz w:val="32"/>
                <w:szCs w:val="21"/>
                <w:lang w:val="en-US" w:eastAsia="zh-CN" w:bidi="ar-SA"/>
              </w:rPr>
            </w:pPr>
          </w:p>
        </w:tc>
        <w:tc>
          <w:tcPr>
            <w:tcW w:w="2220" w:type="dxa"/>
            <w:tcBorders>
              <w:top w:val="nil"/>
              <w:left w:val="nil"/>
              <w:bottom w:val="single" w:color="auto" w:sz="4" w:space="0"/>
              <w:right w:val="single" w:color="auto" w:sz="4" w:space="0"/>
            </w:tcBorders>
            <w:noWrap w:val="0"/>
            <w:vAlign w:val="center"/>
          </w:tcPr>
          <w:p w14:paraId="4E79948D">
            <w:pPr>
              <w:jc w:val="right"/>
              <w:rPr>
                <w:rFonts w:hint="eastAsia" w:ascii="宋体" w:hAnsi="宋体" w:eastAsia="仿宋_GB2312" w:cs="宋体"/>
                <w:kern w:val="0"/>
                <w:sz w:val="32"/>
                <w:szCs w:val="21"/>
                <w:lang w:val="en-US" w:eastAsia="zh-CN" w:bidi="ar-SA"/>
              </w:rPr>
            </w:pPr>
          </w:p>
        </w:tc>
      </w:tr>
      <w:tr w14:paraId="40EE9E9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D348906">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center"/>
          </w:tcPr>
          <w:p w14:paraId="02C37023">
            <w:pPr>
              <w:widowControl/>
              <w:jc w:val="right"/>
              <w:rPr>
                <w:rFonts w:hint="eastAsia" w:ascii="宋体" w:hAnsi="宋体" w:eastAsia="仿宋_GB2312" w:cs="宋体"/>
                <w:kern w:val="0"/>
                <w:sz w:val="32"/>
                <w:szCs w:val="21"/>
                <w:lang w:val="en-US" w:eastAsia="zh-CN" w:bidi="ar-SA"/>
              </w:rPr>
            </w:pPr>
            <w:r>
              <w:rPr>
                <w:rFonts w:hint="eastAsia" w:ascii="宋体" w:hAnsi="宋体" w:eastAsia="仿宋_GB2312" w:cs="宋体"/>
                <w:kern w:val="0"/>
                <w:sz w:val="32"/>
                <w:szCs w:val="21"/>
                <w:lang w:val="en-US" w:eastAsia="zh-CN" w:bidi="ar-SA"/>
              </w:rPr>
              <w:t>5.71</w:t>
            </w:r>
          </w:p>
        </w:tc>
        <w:tc>
          <w:tcPr>
            <w:tcW w:w="2220" w:type="dxa"/>
            <w:tcBorders>
              <w:top w:val="nil"/>
              <w:left w:val="nil"/>
              <w:bottom w:val="single" w:color="auto" w:sz="4" w:space="0"/>
              <w:right w:val="single" w:color="auto" w:sz="4" w:space="0"/>
            </w:tcBorders>
            <w:noWrap w:val="0"/>
            <w:vAlign w:val="center"/>
          </w:tcPr>
          <w:p w14:paraId="1A7DE964">
            <w:pPr>
              <w:widowControl/>
              <w:jc w:val="right"/>
              <w:rPr>
                <w:rFonts w:hint="eastAsia" w:ascii="宋体" w:hAnsi="宋体" w:eastAsia="仿宋_GB2312" w:cs="宋体"/>
                <w:kern w:val="0"/>
                <w:sz w:val="32"/>
                <w:szCs w:val="21"/>
                <w:lang w:val="en-US" w:eastAsia="zh-CN" w:bidi="ar-SA"/>
              </w:rPr>
            </w:pPr>
            <w:r>
              <w:rPr>
                <w:rFonts w:hint="eastAsia" w:ascii="宋体" w:hAnsi="宋体" w:eastAsia="仿宋_GB2312" w:cs="宋体"/>
                <w:kern w:val="0"/>
                <w:sz w:val="32"/>
                <w:szCs w:val="21"/>
                <w:lang w:val="en-US" w:eastAsia="zh-CN" w:bidi="ar-SA"/>
              </w:rPr>
              <w:t>5.71</w:t>
            </w:r>
          </w:p>
        </w:tc>
      </w:tr>
      <w:tr w14:paraId="0DCD62C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E34BE66">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center"/>
          </w:tcPr>
          <w:p w14:paraId="1811C137">
            <w:pPr>
              <w:widowControl/>
              <w:jc w:val="right"/>
              <w:rPr>
                <w:rFonts w:hint="eastAsia" w:ascii="宋体" w:hAnsi="宋体" w:eastAsia="仿宋_GB2312" w:cs="宋体"/>
                <w:kern w:val="0"/>
                <w:sz w:val="32"/>
                <w:szCs w:val="21"/>
                <w:lang w:val="en-US" w:eastAsia="zh-CN" w:bidi="ar-SA"/>
              </w:rPr>
            </w:pPr>
            <w:r>
              <w:rPr>
                <w:rFonts w:hint="eastAsia" w:ascii="宋体" w:hAnsi="宋体" w:eastAsia="仿宋_GB2312" w:cs="宋体"/>
                <w:kern w:val="0"/>
                <w:sz w:val="32"/>
                <w:szCs w:val="21"/>
                <w:lang w:val="en-US" w:eastAsia="zh-CN" w:bidi="ar-SA"/>
              </w:rPr>
              <w:t>33.99</w:t>
            </w:r>
          </w:p>
        </w:tc>
        <w:tc>
          <w:tcPr>
            <w:tcW w:w="2220" w:type="dxa"/>
            <w:tcBorders>
              <w:top w:val="nil"/>
              <w:left w:val="nil"/>
              <w:bottom w:val="single" w:color="auto" w:sz="4" w:space="0"/>
              <w:right w:val="single" w:color="auto" w:sz="4" w:space="0"/>
            </w:tcBorders>
            <w:noWrap w:val="0"/>
            <w:vAlign w:val="center"/>
          </w:tcPr>
          <w:p w14:paraId="31F712BE">
            <w:pPr>
              <w:widowControl/>
              <w:jc w:val="right"/>
              <w:rPr>
                <w:rFonts w:hint="eastAsia" w:ascii="宋体" w:hAnsi="宋体" w:eastAsia="仿宋_GB2312" w:cs="宋体"/>
                <w:kern w:val="0"/>
                <w:sz w:val="32"/>
                <w:szCs w:val="21"/>
                <w:lang w:val="en-US" w:eastAsia="zh-CN" w:bidi="ar-SA"/>
              </w:rPr>
            </w:pPr>
            <w:r>
              <w:rPr>
                <w:rFonts w:hint="eastAsia" w:ascii="宋体" w:hAnsi="宋体" w:eastAsia="仿宋_GB2312" w:cs="宋体"/>
                <w:kern w:val="0"/>
                <w:sz w:val="32"/>
                <w:szCs w:val="21"/>
                <w:lang w:val="en-US" w:eastAsia="zh-CN" w:bidi="ar-SA"/>
              </w:rPr>
              <w:t>33.99</w:t>
            </w:r>
          </w:p>
        </w:tc>
      </w:tr>
      <w:tr w14:paraId="55876AA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539E03F">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center"/>
          </w:tcPr>
          <w:p w14:paraId="66681C40">
            <w:pPr>
              <w:jc w:val="right"/>
              <w:rPr>
                <w:rFonts w:hint="eastAsia" w:ascii="宋体" w:hAnsi="宋体" w:eastAsia="仿宋_GB2312" w:cs="宋体"/>
                <w:kern w:val="0"/>
                <w:sz w:val="32"/>
                <w:szCs w:val="21"/>
                <w:lang w:val="en-US" w:eastAsia="zh-CN" w:bidi="ar-SA"/>
              </w:rPr>
            </w:pPr>
          </w:p>
        </w:tc>
        <w:tc>
          <w:tcPr>
            <w:tcW w:w="2220" w:type="dxa"/>
            <w:tcBorders>
              <w:top w:val="nil"/>
              <w:left w:val="nil"/>
              <w:bottom w:val="single" w:color="auto" w:sz="4" w:space="0"/>
              <w:right w:val="single" w:color="auto" w:sz="4" w:space="0"/>
            </w:tcBorders>
            <w:noWrap w:val="0"/>
            <w:vAlign w:val="center"/>
          </w:tcPr>
          <w:p w14:paraId="5A9129BF">
            <w:pPr>
              <w:jc w:val="right"/>
              <w:rPr>
                <w:rFonts w:hint="eastAsia" w:ascii="宋体" w:hAnsi="宋体" w:eastAsia="仿宋_GB2312" w:cs="宋体"/>
                <w:kern w:val="0"/>
                <w:sz w:val="32"/>
                <w:szCs w:val="21"/>
                <w:lang w:val="en-US" w:eastAsia="zh-CN" w:bidi="ar-SA"/>
              </w:rPr>
            </w:pPr>
          </w:p>
        </w:tc>
      </w:tr>
      <w:tr w14:paraId="1B4AF85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B176086">
            <w:pPr>
              <w:widowControl/>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公务用车运行维护费  </w:t>
            </w:r>
          </w:p>
        </w:tc>
        <w:tc>
          <w:tcPr>
            <w:tcW w:w="2157" w:type="dxa"/>
            <w:tcBorders>
              <w:top w:val="nil"/>
              <w:left w:val="nil"/>
              <w:bottom w:val="single" w:color="auto" w:sz="4" w:space="0"/>
              <w:right w:val="single" w:color="auto" w:sz="4" w:space="0"/>
            </w:tcBorders>
            <w:noWrap w:val="0"/>
            <w:vAlign w:val="center"/>
          </w:tcPr>
          <w:p w14:paraId="7DAE56B4">
            <w:pPr>
              <w:widowControl/>
              <w:jc w:val="right"/>
              <w:rPr>
                <w:rFonts w:hint="eastAsia" w:ascii="宋体" w:hAnsi="宋体" w:eastAsia="仿宋_GB2312" w:cs="宋体"/>
                <w:kern w:val="0"/>
                <w:sz w:val="32"/>
                <w:szCs w:val="21"/>
                <w:lang w:val="en-US" w:eastAsia="zh-CN" w:bidi="ar-SA"/>
              </w:rPr>
            </w:pPr>
            <w:r>
              <w:rPr>
                <w:rFonts w:hint="eastAsia" w:ascii="宋体" w:hAnsi="宋体" w:eastAsia="仿宋_GB2312" w:cs="宋体"/>
                <w:kern w:val="0"/>
                <w:sz w:val="32"/>
                <w:szCs w:val="21"/>
                <w:lang w:val="en-US" w:eastAsia="zh-CN" w:bidi="ar-SA"/>
              </w:rPr>
              <w:t>33.99</w:t>
            </w:r>
          </w:p>
        </w:tc>
        <w:tc>
          <w:tcPr>
            <w:tcW w:w="2220" w:type="dxa"/>
            <w:tcBorders>
              <w:top w:val="nil"/>
              <w:left w:val="nil"/>
              <w:bottom w:val="single" w:color="auto" w:sz="4" w:space="0"/>
              <w:right w:val="single" w:color="auto" w:sz="4" w:space="0"/>
            </w:tcBorders>
            <w:noWrap w:val="0"/>
            <w:vAlign w:val="center"/>
          </w:tcPr>
          <w:p w14:paraId="5DBC6DF1">
            <w:pPr>
              <w:widowControl/>
              <w:jc w:val="right"/>
              <w:rPr>
                <w:rFonts w:hint="eastAsia" w:ascii="宋体" w:hAnsi="宋体" w:eastAsia="仿宋_GB2312" w:cs="宋体"/>
                <w:kern w:val="0"/>
                <w:sz w:val="32"/>
                <w:szCs w:val="21"/>
                <w:lang w:val="en-US" w:eastAsia="zh-CN" w:bidi="ar-SA"/>
              </w:rPr>
            </w:pPr>
            <w:r>
              <w:rPr>
                <w:rFonts w:hint="eastAsia" w:ascii="宋体" w:hAnsi="宋体" w:eastAsia="仿宋_GB2312" w:cs="宋体"/>
                <w:kern w:val="0"/>
                <w:sz w:val="32"/>
                <w:szCs w:val="21"/>
                <w:lang w:val="en-US" w:eastAsia="zh-CN" w:bidi="ar-SA"/>
              </w:rPr>
              <w:t>33.99</w:t>
            </w:r>
          </w:p>
        </w:tc>
      </w:tr>
    </w:tbl>
    <w:p w14:paraId="4AF416E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13E036B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58A6FB13">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472FFC04">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06A5316E">
      <w:pPr>
        <w:ind w:firstLine="628" w:firstLineChars="200"/>
        <w:rPr>
          <w:rFonts w:hint="eastAsia" w:ascii="仿宋_GB2312" w:hAnsi="仿宋"/>
          <w:szCs w:val="32"/>
          <w:lang w:val="en-US" w:eastAsia="zh-CN"/>
        </w:rPr>
      </w:pPr>
      <w:r>
        <w:rPr>
          <w:rFonts w:hint="eastAsia" w:ascii="仿宋_GB2312" w:hAnsi="仿宋"/>
          <w:szCs w:val="32"/>
          <w:lang w:val="en-US" w:eastAsia="zh-CN"/>
        </w:rPr>
        <w:t>淮北市</w:t>
      </w:r>
      <w:r>
        <w:rPr>
          <w:rFonts w:hint="eastAsia" w:ascii="仿宋_GB2312" w:hAnsi="仿宋"/>
          <w:szCs w:val="32"/>
          <w:lang w:eastAsia="zh-CN"/>
        </w:rPr>
        <w:t>市场监督管理局202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hint="eastAsia" w:ascii="仿宋_GB2312" w:hAnsi="仿宋"/>
          <w:szCs w:val="32"/>
          <w:lang w:val="en-US" w:eastAsia="zh-CN"/>
        </w:rPr>
        <w:t>39.7</w:t>
      </w:r>
      <w:r>
        <w:rPr>
          <w:rFonts w:hint="eastAsia" w:ascii="仿宋_GB2312" w:hAnsi="仿宋"/>
          <w:szCs w:val="32"/>
        </w:rPr>
        <w:t>万元，支出决算</w:t>
      </w:r>
      <w:r>
        <w:rPr>
          <w:rFonts w:hint="eastAsia" w:ascii="仿宋_GB2312" w:hAnsi="仿宋"/>
          <w:szCs w:val="32"/>
          <w:lang w:eastAsia="zh-CN"/>
        </w:rPr>
        <w:t>为</w:t>
      </w:r>
      <w:r>
        <w:rPr>
          <w:rFonts w:hint="eastAsia" w:ascii="仿宋_GB2312" w:hAnsi="仿宋"/>
          <w:szCs w:val="32"/>
          <w:lang w:val="en-US" w:eastAsia="zh-CN"/>
        </w:rPr>
        <w:t>39.7</w:t>
      </w:r>
      <w:r>
        <w:rPr>
          <w:rFonts w:hint="eastAsia" w:ascii="仿宋_GB2312" w:hAnsi="仿宋"/>
          <w:szCs w:val="32"/>
        </w:rPr>
        <w:t>万元，完成预</w:t>
      </w:r>
      <w:r>
        <w:rPr>
          <w:rFonts w:hint="eastAsia" w:ascii="仿宋_GB2312" w:hAnsi="仿宋"/>
          <w:szCs w:val="32"/>
          <w:highlight w:val="none"/>
        </w:rPr>
        <w:t>算的</w:t>
      </w:r>
      <w:r>
        <w:rPr>
          <w:rFonts w:hint="eastAsia" w:ascii="仿宋_GB2312" w:hAnsi="仿宋"/>
          <w:szCs w:val="32"/>
          <w:highlight w:val="none"/>
          <w:lang w:val="en-US" w:eastAsia="zh-CN"/>
        </w:rPr>
        <w:t>100</w:t>
      </w:r>
      <w:r>
        <w:rPr>
          <w:rFonts w:hint="eastAsia" w:ascii="仿宋_GB2312" w:hAnsi="仿宋"/>
          <w:szCs w:val="32"/>
          <w:highlight w:val="none"/>
        </w:rPr>
        <w:t>%</w:t>
      </w:r>
      <w:r>
        <w:rPr>
          <w:rFonts w:hint="eastAsia" w:ascii="仿宋_GB2312" w:hAnsi="仿宋"/>
          <w:szCs w:val="32"/>
          <w:highlight w:val="none"/>
          <w:lang w:eastAsia="zh-CN"/>
        </w:rPr>
        <w:t>；较上年减少</w:t>
      </w:r>
      <w:r>
        <w:rPr>
          <w:rFonts w:hint="eastAsia" w:ascii="仿宋_GB2312" w:hAnsi="仿宋"/>
          <w:szCs w:val="32"/>
          <w:highlight w:val="none"/>
          <w:lang w:val="en-US" w:eastAsia="zh-CN"/>
        </w:rPr>
        <w:t>77.11</w:t>
      </w:r>
      <w:r>
        <w:rPr>
          <w:rFonts w:hint="eastAsia" w:ascii="仿宋_GB2312" w:hAnsi="仿宋"/>
          <w:szCs w:val="32"/>
          <w:highlight w:val="none"/>
        </w:rPr>
        <w:t>万元</w:t>
      </w:r>
      <w:r>
        <w:rPr>
          <w:rFonts w:hint="eastAsia" w:ascii="仿宋_GB2312" w:hAnsi="仿宋"/>
          <w:szCs w:val="32"/>
          <w:highlight w:val="none"/>
          <w:lang w:eastAsia="zh-CN"/>
        </w:rPr>
        <w:t>，下降</w:t>
      </w:r>
      <w:r>
        <w:rPr>
          <w:rFonts w:hint="eastAsia" w:ascii="仿宋_GB2312" w:hAnsi="仿宋"/>
          <w:szCs w:val="32"/>
          <w:highlight w:val="none"/>
          <w:lang w:val="en-US" w:eastAsia="zh-CN"/>
        </w:rPr>
        <w:t>66.01%。</w:t>
      </w:r>
      <w:r>
        <w:rPr>
          <w:rFonts w:hint="eastAsia" w:ascii="仿宋_GB2312" w:hAnsi="仿宋"/>
          <w:szCs w:val="32"/>
          <w:highlight w:val="none"/>
        </w:rPr>
        <w:t>决算数</w:t>
      </w:r>
      <w:r>
        <w:rPr>
          <w:rFonts w:hint="eastAsia" w:ascii="仿宋_GB2312" w:hAnsi="仿宋"/>
          <w:szCs w:val="32"/>
          <w:highlight w:val="none"/>
          <w:lang w:eastAsia="zh-CN"/>
        </w:rPr>
        <w:t>较上年减少</w:t>
      </w:r>
      <w:r>
        <w:rPr>
          <w:rFonts w:hint="eastAsia" w:ascii="仿宋_GB2312" w:hAnsi="仿宋"/>
          <w:szCs w:val="32"/>
          <w:highlight w:val="none"/>
        </w:rPr>
        <w:t>的主要原因是</w:t>
      </w:r>
      <w:r>
        <w:rPr>
          <w:rFonts w:hint="eastAsia" w:ascii="仿宋_GB2312" w:hAnsi="仿宋"/>
          <w:szCs w:val="32"/>
          <w:highlight w:val="none"/>
          <w:lang w:val="en-US" w:eastAsia="zh-CN"/>
        </w:rPr>
        <w:t>2023年度未安排公务用车购置，</w:t>
      </w:r>
      <w:r>
        <w:rPr>
          <w:rFonts w:hint="eastAsia" w:ascii="仿宋_GB2312" w:hAnsi="仿宋"/>
          <w:szCs w:val="32"/>
          <w:highlight w:val="none"/>
          <w:lang w:eastAsia="zh-CN"/>
        </w:rPr>
        <w:t>公务用车购置费及公务接待费支出减少。</w:t>
      </w:r>
      <w:r>
        <w:rPr>
          <w:rFonts w:hint="eastAsia" w:ascii="仿宋_GB2312" w:hAnsi="仿宋"/>
          <w:szCs w:val="32"/>
          <w:highlight w:val="none"/>
        </w:rPr>
        <w:t>为全面反映“三公”经费支出，本次</w:t>
      </w:r>
      <w:r>
        <w:rPr>
          <w:rFonts w:hint="eastAsia" w:ascii="仿宋_GB2312" w:hAnsi="仿宋"/>
          <w:szCs w:val="32"/>
        </w:rPr>
        <w:t>公布的“三公”经费决算为部门汇总数，包含单位本级和</w:t>
      </w:r>
      <w:r>
        <w:rPr>
          <w:rFonts w:hint="eastAsia" w:ascii="仿宋_GB2312" w:hAnsi="仿宋"/>
          <w:szCs w:val="32"/>
          <w:lang w:eastAsia="zh-CN"/>
        </w:rPr>
        <w:t>所</w:t>
      </w:r>
      <w:r>
        <w:rPr>
          <w:rFonts w:hint="eastAsia" w:ascii="仿宋_GB2312" w:hAnsi="仿宋"/>
          <w:szCs w:val="32"/>
        </w:rPr>
        <w:t>属单位。</w:t>
      </w:r>
      <w:r>
        <w:rPr>
          <w:rFonts w:hint="eastAsia" w:ascii="仿宋_GB2312" w:hAnsi="仿宋"/>
          <w:szCs w:val="32"/>
          <w:lang w:val="en-US" w:eastAsia="zh-CN"/>
        </w:rPr>
        <w:t xml:space="preserve"> </w:t>
      </w:r>
    </w:p>
    <w:p w14:paraId="0E7DFF47">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797436C0">
      <w:pPr>
        <w:ind w:firstLine="628" w:firstLineChars="200"/>
        <w:rPr>
          <w:rFonts w:hint="eastAsia" w:ascii="仿宋_GB2312" w:hAnsi="仿宋"/>
          <w:szCs w:val="32"/>
        </w:rPr>
      </w:pPr>
      <w:r>
        <w:rPr>
          <w:rFonts w:hint="eastAsia" w:ascii="仿宋_GB2312" w:hAnsi="仿宋"/>
          <w:szCs w:val="32"/>
          <w:lang w:val="en-US" w:eastAsia="zh-CN"/>
        </w:rPr>
        <w:t>淮北市</w:t>
      </w:r>
      <w:r>
        <w:rPr>
          <w:rFonts w:hint="eastAsia" w:ascii="仿宋_GB2312" w:hAnsi="仿宋"/>
          <w:szCs w:val="32"/>
          <w:lang w:eastAsia="zh-CN"/>
        </w:rPr>
        <w:t>市场监督管理局202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5.71</w:t>
      </w:r>
      <w:r>
        <w:rPr>
          <w:rFonts w:hint="eastAsia" w:ascii="仿宋_GB2312" w:hAnsi="仿宋"/>
          <w:szCs w:val="32"/>
        </w:rPr>
        <w:t>万元，占</w:t>
      </w:r>
      <w:r>
        <w:rPr>
          <w:rFonts w:hint="eastAsia" w:ascii="仿宋_GB2312" w:hAnsi="仿宋"/>
          <w:szCs w:val="32"/>
          <w:lang w:val="en-US" w:eastAsia="zh-CN"/>
        </w:rPr>
        <w:t>14.38</w:t>
      </w:r>
      <w:r>
        <w:rPr>
          <w:rFonts w:hint="eastAsia" w:ascii="仿宋_GB2312" w:hAnsi="仿宋"/>
          <w:szCs w:val="32"/>
        </w:rPr>
        <w:t>%；公务用车购置及运行维护费支出决算</w:t>
      </w:r>
      <w:r>
        <w:rPr>
          <w:rFonts w:hint="eastAsia" w:ascii="仿宋_GB2312" w:hAnsi="仿宋"/>
          <w:szCs w:val="32"/>
          <w:lang w:val="en-US" w:eastAsia="zh-CN"/>
        </w:rPr>
        <w:t>33.99</w:t>
      </w:r>
      <w:r>
        <w:rPr>
          <w:rFonts w:hint="eastAsia" w:ascii="仿宋_GB2312" w:hAnsi="仿宋"/>
          <w:szCs w:val="32"/>
        </w:rPr>
        <w:t>万元，占</w:t>
      </w:r>
      <w:r>
        <w:rPr>
          <w:rFonts w:hint="eastAsia" w:ascii="仿宋_GB2312" w:hAnsi="仿宋"/>
          <w:szCs w:val="32"/>
          <w:lang w:val="en-US" w:eastAsia="zh-CN"/>
        </w:rPr>
        <w:t>85.62</w:t>
      </w:r>
      <w:r>
        <w:rPr>
          <w:rFonts w:hint="eastAsia" w:ascii="仿宋_GB2312" w:hAnsi="仿宋"/>
          <w:szCs w:val="32"/>
        </w:rPr>
        <w:t>%。具体情况如下：</w:t>
      </w:r>
    </w:p>
    <w:p w14:paraId="7431778E">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0%。</w:t>
      </w:r>
      <w:r>
        <w:rPr>
          <w:rFonts w:hint="eastAsia" w:ascii="仿宋_GB2312" w:hAnsi="仿宋"/>
          <w:szCs w:val="32"/>
        </w:rPr>
        <w:t>原因是202</w:t>
      </w:r>
      <w:r>
        <w:rPr>
          <w:rFonts w:hint="eastAsia" w:ascii="仿宋_GB2312" w:hAnsi="仿宋"/>
          <w:szCs w:val="32"/>
          <w:lang w:val="en-US" w:eastAsia="zh-CN"/>
        </w:rPr>
        <w:t>2</w:t>
      </w:r>
      <w:r>
        <w:rPr>
          <w:rFonts w:hint="eastAsia" w:ascii="仿宋_GB2312" w:hAnsi="仿宋"/>
          <w:szCs w:val="32"/>
        </w:rPr>
        <w:t>年度、202</w:t>
      </w:r>
      <w:r>
        <w:rPr>
          <w:rFonts w:hint="eastAsia" w:ascii="仿宋_GB2312" w:hAnsi="仿宋"/>
          <w:szCs w:val="32"/>
          <w:lang w:val="en-US" w:eastAsia="zh-CN"/>
        </w:rPr>
        <w:t>3</w:t>
      </w:r>
      <w:r>
        <w:rPr>
          <w:rFonts w:hint="eastAsia" w:ascii="仿宋_GB2312" w:hAnsi="仿宋"/>
          <w:szCs w:val="32"/>
        </w:rPr>
        <w:t>年度均未安排因公出国（境）计划</w:t>
      </w:r>
      <w:r>
        <w:rPr>
          <w:rFonts w:hint="eastAsia" w:ascii="仿宋_GB2312" w:hAnsi="仿宋"/>
          <w:szCs w:val="32"/>
          <w:lang w:eastAsia="zh-CN"/>
        </w:rPr>
        <w:t>，</w:t>
      </w:r>
      <w:r>
        <w:rPr>
          <w:rFonts w:hint="eastAsia" w:ascii="仿宋_GB2312" w:hAnsi="仿宋"/>
          <w:szCs w:val="32"/>
        </w:rPr>
        <w:t>故202</w:t>
      </w:r>
      <w:r>
        <w:rPr>
          <w:rFonts w:hint="eastAsia" w:ascii="仿宋_GB2312" w:hAnsi="仿宋"/>
          <w:szCs w:val="32"/>
          <w:lang w:val="en-US" w:eastAsia="zh-CN"/>
        </w:rPr>
        <w:t>3</w:t>
      </w:r>
      <w:r>
        <w:rPr>
          <w:rFonts w:hint="eastAsia" w:ascii="仿宋_GB2312" w:hAnsi="仿宋"/>
          <w:szCs w:val="32"/>
        </w:rPr>
        <w:t>年淮北市市场监督管理局因公出国（境）团组0次，出国（境）0人次。</w:t>
      </w:r>
    </w:p>
    <w:p w14:paraId="6FC9B9DC">
      <w:pPr>
        <w:ind w:firstLine="628" w:firstLineChars="200"/>
        <w:rPr>
          <w:rFonts w:hint="eastAsia" w:ascii="仿宋_GB2312" w:hAnsi="仿宋"/>
          <w:szCs w:val="32"/>
          <w:highlight w:val="none"/>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5.71</w:t>
      </w:r>
      <w:r>
        <w:rPr>
          <w:rFonts w:hint="eastAsia" w:ascii="仿宋_GB2312" w:hAnsi="仿宋"/>
          <w:szCs w:val="32"/>
          <w:lang w:eastAsia="zh-CN"/>
        </w:rPr>
        <w:t>万元，支出决算为</w:t>
      </w:r>
      <w:r>
        <w:rPr>
          <w:rFonts w:hint="eastAsia" w:ascii="仿宋_GB2312" w:hAnsi="仿宋"/>
          <w:szCs w:val="32"/>
          <w:lang w:val="en-US" w:eastAsia="zh-CN"/>
        </w:rPr>
        <w:t>5.71万元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5.37</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48.47%。</w:t>
      </w:r>
      <w:r>
        <w:rPr>
          <w:rFonts w:hint="eastAsia" w:ascii="仿宋_GB2312" w:hAnsi="仿宋"/>
          <w:szCs w:val="32"/>
        </w:rPr>
        <w:t>决算数</w:t>
      </w:r>
      <w:r>
        <w:rPr>
          <w:rFonts w:hint="eastAsia" w:ascii="仿宋_GB2312" w:hAnsi="仿宋"/>
          <w:szCs w:val="32"/>
          <w:lang w:eastAsia="zh-CN"/>
        </w:rPr>
        <w:t>较上年减少</w:t>
      </w:r>
      <w:r>
        <w:rPr>
          <w:rFonts w:hint="eastAsia" w:ascii="仿宋_GB2312" w:hAnsi="仿宋"/>
          <w:szCs w:val="32"/>
        </w:rPr>
        <w:t>的主要原因是减少公务接待费支出，且因财政部门关于招商引资项目经济科目使用规则调整规定，部分公务接待费用通过办公费列支。</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w:t>
      </w:r>
      <w:r>
        <w:rPr>
          <w:rFonts w:hint="eastAsia" w:ascii="仿宋_GB2312" w:hAnsi="仿宋"/>
          <w:szCs w:val="32"/>
          <w:lang w:val="en-US" w:eastAsia="zh-CN"/>
        </w:rPr>
        <w:t>淮北市</w:t>
      </w:r>
      <w:r>
        <w:rPr>
          <w:rFonts w:hint="eastAsia" w:ascii="仿宋_GB2312" w:hAnsi="仿宋"/>
          <w:szCs w:val="32"/>
          <w:lang w:eastAsia="zh-CN"/>
        </w:rPr>
        <w:t>市场监督管理局</w:t>
      </w:r>
      <w:r>
        <w:rPr>
          <w:rFonts w:hint="eastAsia" w:ascii="仿宋_GB2312" w:hAnsi="仿宋"/>
          <w:szCs w:val="32"/>
        </w:rPr>
        <w:t>国内公务接待共</w:t>
      </w:r>
      <w:r>
        <w:rPr>
          <w:rFonts w:hint="eastAsia" w:ascii="仿宋_GB2312" w:hAnsi="仿宋"/>
          <w:szCs w:val="32"/>
          <w:lang w:val="en-US" w:eastAsia="zh-CN"/>
        </w:rPr>
        <w:t>80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465</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人次）。主要是用于招商引资、接待投资商洽谈业务和兄弟地市业务交流学习以及举办各类业务培训外聘授课人员等。经费使用贯彻中央八项规定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14:paraId="0791B955">
      <w:pPr>
        <w:ind w:firstLine="628" w:firstLineChars="200"/>
        <w:rPr>
          <w:rFonts w:hint="default" w:eastAsia="仿宋_GB2312"/>
          <w:highlight w:val="none"/>
          <w:lang w:val="en-US" w:eastAsia="zh-CN"/>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33.99</w:t>
      </w:r>
      <w:r>
        <w:rPr>
          <w:rFonts w:hint="eastAsia" w:ascii="仿宋_GB2312" w:hAnsi="仿宋"/>
          <w:szCs w:val="32"/>
          <w:lang w:eastAsia="zh-CN"/>
        </w:rPr>
        <w:t>万元，支出决算为</w:t>
      </w:r>
      <w:r>
        <w:rPr>
          <w:rFonts w:hint="eastAsia" w:ascii="仿宋_GB2312" w:hAnsi="仿宋"/>
          <w:szCs w:val="32"/>
          <w:lang w:val="en-US" w:eastAsia="zh-CN"/>
        </w:rPr>
        <w:t>33.99万元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71.74</w:t>
      </w:r>
      <w:r>
        <w:rPr>
          <w:rFonts w:hint="eastAsia" w:ascii="仿宋_GB2312" w:hAnsi="仿宋"/>
          <w:szCs w:val="32"/>
          <w:lang w:eastAsia="zh-CN"/>
        </w:rPr>
        <w:t>万元，下降</w:t>
      </w:r>
      <w:r>
        <w:rPr>
          <w:rFonts w:hint="eastAsia" w:ascii="仿宋_GB2312" w:hAnsi="仿宋"/>
          <w:szCs w:val="32"/>
          <w:lang w:val="en-US" w:eastAsia="zh-CN"/>
        </w:rPr>
        <w:t>67.85%。</w:t>
      </w:r>
      <w:r>
        <w:rPr>
          <w:rFonts w:hint="eastAsia" w:ascii="仿宋_GB2312" w:hAnsi="仿宋"/>
          <w:szCs w:val="32"/>
          <w:lang w:eastAsia="zh-CN"/>
        </w:rPr>
        <w:t>决算数较上年减少的主要原因是</w:t>
      </w:r>
      <w:r>
        <w:rPr>
          <w:rFonts w:hint="eastAsia" w:ascii="仿宋_GB2312" w:hAnsi="仿宋"/>
          <w:szCs w:val="32"/>
          <w:lang w:val="en-US" w:eastAsia="zh-CN"/>
        </w:rPr>
        <w:t>2023年度未安排公务用车购置费用且严格执行车辆管理制度，实行加油卡集中管理，对车辆进行定点维修，减少公务用车运行维护费1.54万</w:t>
      </w:r>
      <w:r>
        <w:rPr>
          <w:rFonts w:hint="eastAsia" w:ascii="仿宋_GB2312" w:hAnsi="仿宋"/>
          <w:szCs w:val="32"/>
          <w:lang w:eastAsia="zh-CN"/>
        </w:rPr>
        <w:t>。</w:t>
      </w:r>
      <w:r>
        <w:rPr>
          <w:rFonts w:hint="eastAsia" w:ascii="仿宋_GB2312" w:hAnsi="仿宋"/>
          <w:szCs w:val="32"/>
        </w:rPr>
        <w:t>其中，公务用车购置费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7</w:t>
      </w:r>
      <w:bookmarkStart w:id="0" w:name="_GoBack"/>
      <w:bookmarkEnd w:id="0"/>
      <w:r>
        <w:rPr>
          <w:rFonts w:hint="eastAsia" w:ascii="仿宋_GB2312" w:hAnsi="仿宋"/>
          <w:szCs w:val="32"/>
          <w:lang w:val="en-US" w:eastAsia="zh-CN"/>
        </w:rPr>
        <w:t>0.2</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100%。</w:t>
      </w:r>
      <w:r>
        <w:rPr>
          <w:rFonts w:hint="eastAsia" w:ascii="仿宋_GB2312" w:hAnsi="仿宋"/>
          <w:szCs w:val="32"/>
        </w:rPr>
        <w:t>决</w:t>
      </w:r>
      <w:r>
        <w:rPr>
          <w:rFonts w:hint="eastAsia" w:ascii="仿宋_GB2312" w:hAnsi="仿宋"/>
          <w:szCs w:val="32"/>
          <w:lang w:eastAsia="zh-CN"/>
        </w:rPr>
        <w:t>算数较上年减少的主要原因是202</w:t>
      </w:r>
      <w:r>
        <w:rPr>
          <w:rFonts w:hint="eastAsia" w:ascii="仿宋_GB2312" w:hAnsi="仿宋"/>
          <w:szCs w:val="32"/>
          <w:lang w:val="en-US" w:eastAsia="zh-CN"/>
        </w:rPr>
        <w:t>3</w:t>
      </w:r>
      <w:r>
        <w:rPr>
          <w:rFonts w:hint="eastAsia" w:ascii="仿宋_GB2312" w:hAnsi="仿宋"/>
          <w:szCs w:val="32"/>
          <w:lang w:eastAsia="zh-CN"/>
        </w:rPr>
        <w:t>年没有安排公务用车购置费。公务用车运行维护费预算为</w:t>
      </w:r>
      <w:r>
        <w:rPr>
          <w:rFonts w:hint="eastAsia" w:ascii="仿宋_GB2312" w:hAnsi="仿宋"/>
          <w:szCs w:val="32"/>
          <w:lang w:val="en-US" w:eastAsia="zh-CN"/>
        </w:rPr>
        <w:t>33.99</w:t>
      </w:r>
      <w:r>
        <w:rPr>
          <w:rFonts w:hint="eastAsia" w:ascii="仿宋_GB2312" w:hAnsi="仿宋"/>
          <w:szCs w:val="32"/>
          <w:lang w:eastAsia="zh-CN"/>
        </w:rPr>
        <w:t>万元，支出决算为</w:t>
      </w:r>
      <w:r>
        <w:rPr>
          <w:rFonts w:hint="eastAsia" w:ascii="仿宋_GB2312" w:hAnsi="仿宋"/>
          <w:szCs w:val="32"/>
          <w:lang w:val="en-US" w:eastAsia="zh-CN"/>
        </w:rPr>
        <w:t>33.99万元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1.54</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4.33%。</w:t>
      </w:r>
      <w:r>
        <w:rPr>
          <w:rFonts w:hint="eastAsia" w:ascii="仿宋_GB2312" w:hAnsi="仿宋"/>
          <w:szCs w:val="32"/>
        </w:rPr>
        <w:t>决算数</w:t>
      </w:r>
      <w:r>
        <w:rPr>
          <w:rFonts w:hint="eastAsia" w:ascii="仿宋_GB2312" w:hAnsi="仿宋"/>
          <w:szCs w:val="32"/>
          <w:lang w:eastAsia="zh-CN"/>
        </w:rPr>
        <w:t>较上年减少</w:t>
      </w:r>
      <w:r>
        <w:rPr>
          <w:rFonts w:hint="eastAsia" w:ascii="仿宋_GB2312" w:hAnsi="仿宋"/>
          <w:szCs w:val="32"/>
        </w:rPr>
        <w:t>的主要原因是</w:t>
      </w:r>
      <w:r>
        <w:rPr>
          <w:rFonts w:hint="eastAsia" w:ascii="仿宋_GB2312" w:hAnsi="仿宋"/>
          <w:szCs w:val="32"/>
          <w:lang w:val="en-US" w:eastAsia="zh-CN"/>
        </w:rPr>
        <w:t>严格执行车辆管理制度，实行加油卡集中管理，对车辆进行定点维修，努力降低行政运行成本</w:t>
      </w:r>
      <w:r>
        <w:rPr>
          <w:rFonts w:hint="eastAsia" w:ascii="仿宋_GB2312" w:hAnsi="仿宋"/>
          <w:szCs w:val="32"/>
        </w:rPr>
        <w:t>。公务用车运行维护费，包括车辆燃料费、维修费、过路过桥费、保险费等支出，主</w:t>
      </w:r>
      <w:r>
        <w:rPr>
          <w:rFonts w:hint="eastAsia" w:ascii="仿宋_GB2312" w:hAnsi="仿宋"/>
          <w:szCs w:val="32"/>
          <w:highlight w:val="none"/>
        </w:rPr>
        <w:t>要用于</w:t>
      </w:r>
      <w:r>
        <w:rPr>
          <w:rFonts w:hint="eastAsia" w:ascii="仿宋_GB2312" w:hAnsi="仿宋"/>
          <w:szCs w:val="32"/>
          <w:highlight w:val="none"/>
          <w:lang w:val="en-US" w:eastAsia="zh-CN"/>
        </w:rPr>
        <w:t>市场日常监督检查、执法以及日常监管专项业务支出等</w:t>
      </w:r>
      <w:r>
        <w:rPr>
          <w:rFonts w:hint="eastAsia" w:ascii="仿宋_GB2312" w:hAnsi="仿宋"/>
          <w:szCs w:val="32"/>
          <w:highlight w:val="none"/>
        </w:rPr>
        <w:t>。截至</w:t>
      </w:r>
      <w:r>
        <w:rPr>
          <w:rFonts w:hint="eastAsia" w:ascii="仿宋_GB2312" w:hAnsi="仿宋"/>
          <w:szCs w:val="32"/>
          <w:highlight w:val="none"/>
          <w:lang w:eastAsia="zh-CN"/>
        </w:rPr>
        <w:t>202</w:t>
      </w:r>
      <w:r>
        <w:rPr>
          <w:rFonts w:hint="eastAsia" w:ascii="仿宋_GB2312" w:hAnsi="仿宋"/>
          <w:szCs w:val="32"/>
          <w:highlight w:val="none"/>
          <w:lang w:val="en-US" w:eastAsia="zh-CN"/>
        </w:rPr>
        <w:t>3</w:t>
      </w:r>
      <w:r>
        <w:rPr>
          <w:rFonts w:hint="eastAsia" w:ascii="仿宋_GB2312" w:hAnsi="仿宋"/>
          <w:szCs w:val="32"/>
          <w:highlight w:val="none"/>
        </w:rPr>
        <w:t>年12月31日，</w:t>
      </w:r>
      <w:r>
        <w:rPr>
          <w:rFonts w:hint="eastAsia" w:ascii="仿宋_GB2312" w:hAnsi="仿宋"/>
          <w:szCs w:val="32"/>
          <w:highlight w:val="none"/>
          <w:lang w:val="en-US" w:eastAsia="zh-CN"/>
        </w:rPr>
        <w:t>淮北市</w:t>
      </w:r>
      <w:r>
        <w:rPr>
          <w:rFonts w:hint="eastAsia" w:ascii="仿宋_GB2312" w:hAnsi="仿宋"/>
          <w:szCs w:val="32"/>
          <w:highlight w:val="none"/>
          <w:lang w:eastAsia="zh-CN"/>
        </w:rPr>
        <w:t>市场监督管理局</w:t>
      </w:r>
      <w:r>
        <w:rPr>
          <w:rFonts w:hint="eastAsia" w:ascii="仿宋_GB2312" w:hAnsi="仿宋"/>
          <w:szCs w:val="32"/>
          <w:highlight w:val="none"/>
        </w:rPr>
        <w:t>机关</w:t>
      </w:r>
      <w:r>
        <w:rPr>
          <w:rFonts w:hint="eastAsia" w:ascii="仿宋_GB2312" w:hAnsi="仿宋"/>
          <w:b w:val="0"/>
          <w:bCs w:val="0"/>
          <w:szCs w:val="32"/>
          <w:highlight w:val="none"/>
        </w:rPr>
        <w:t>及所属单位</w:t>
      </w:r>
      <w:r>
        <w:rPr>
          <w:rFonts w:hint="eastAsia" w:ascii="仿宋_GB2312" w:hAnsi="仿宋"/>
          <w:szCs w:val="32"/>
          <w:highlight w:val="none"/>
        </w:rPr>
        <w:t>开支财政拨款的公务用车保有量为</w:t>
      </w:r>
      <w:r>
        <w:rPr>
          <w:rFonts w:hint="eastAsia" w:ascii="仿宋_GB2312" w:hAnsi="仿宋"/>
          <w:szCs w:val="32"/>
          <w:highlight w:val="none"/>
          <w:lang w:val="en-US" w:eastAsia="zh-CN"/>
        </w:rPr>
        <w:t>30</w:t>
      </w:r>
      <w:r>
        <w:rPr>
          <w:rFonts w:hint="eastAsia" w:ascii="仿宋_GB2312" w:hAnsi="仿宋"/>
          <w:szCs w:val="32"/>
          <w:highlight w:val="none"/>
        </w:rPr>
        <w:t>辆。</w:t>
      </w:r>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F464">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74816B97">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4081E">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5353DBAA">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73848"/>
    <w:rsid w:val="052242AF"/>
    <w:rsid w:val="0B215FD6"/>
    <w:rsid w:val="0E660B8A"/>
    <w:rsid w:val="1CF73848"/>
    <w:rsid w:val="38FD62E1"/>
    <w:rsid w:val="5CD71DFC"/>
    <w:rsid w:val="616A1082"/>
    <w:rsid w:val="78B0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1411</Words>
  <Characters>1601</Characters>
  <Lines>0</Lines>
  <Paragraphs>0</Paragraphs>
  <TotalTime>329</TotalTime>
  <ScaleCrop>false</ScaleCrop>
  <LinksUpToDate>false</LinksUpToDate>
  <CharactersWithSpaces>1670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2024-09-25T10:25:00Z</dcterms:created>
  <dc:creator>刘环宇</dc:creator>
  <cp:lastModifiedBy>焦守云</cp:lastModifiedBy>
  <dcterms:modified xsi:type="dcterms:W3CDTF">2024-12-16T07:25:51Z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5A062F51B462489F9B15AB1583F26392_13</vt:lpwstr>
  </property>
</Properties>
</file>